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For each of the following numbered situations below, select the best letter answer concerning accounting for investments:</w:t>
      </w:r>
      <w:r>
        <w:rPr>
          <w:rFonts w:ascii="Times New Roman"/>
          <w:b w:val="false"/>
          <w:i w:val="false"/>
          <w:color w:val="000000"/>
          <w:sz w:val="24"/>
        </w:rPr>
        <w:t>(A) Increase the investment account.</w:t>
      </w:r>
      <w:r>
        <w:rPr>
          <w:rFonts w:ascii="Times New Roman"/>
          <w:b w:val="false"/>
          <w:i w:val="false"/>
          <w:color w:val="000000"/>
          <w:sz w:val="24"/>
        </w:rPr>
        <w:t>(B) Decrease the investment account.</w:t>
      </w:r>
      <w:r>
        <w:rPr>
          <w:rFonts w:ascii="Times New Roman"/>
          <w:b w:val="false"/>
          <w:i w:val="false"/>
          <w:color w:val="000000"/>
          <w:sz w:val="24"/>
        </w:rPr>
        <w:t>(C) Increase dividend revenue.</w:t>
      </w:r>
      <w:r>
        <w:rPr>
          <w:rFonts w:ascii="Times New Roman"/>
          <w:b w:val="false"/>
          <w:i w:val="false"/>
          <w:color w:val="000000"/>
          <w:sz w:val="24"/>
        </w:rPr>
        <w:t>(D) No adjustment necessary.</w:t>
      </w:r>
      <w:r>
        <w:rPr>
          <w:rFonts w:ascii="Times New Roman"/>
          <w:b w:val="false"/>
          <w:i w:val="false"/>
          <w:color w:val="000000"/>
          <w:sz w:val="24"/>
        </w:rPr>
        <w:t>(1.) Income reported by 40% owned investee.</w:t>
      </w:r>
      <w:r>
        <w:rPr>
          <w:rFonts w:ascii="Times New Roman"/>
          <w:b w:val="false"/>
          <w:i w:val="false"/>
          <w:color w:val="000000"/>
          <w:sz w:val="24"/>
        </w:rPr>
        <w:t>(2.) Income reported by 10% owned investee.</w:t>
      </w:r>
      <w:r>
        <w:rPr>
          <w:rFonts w:ascii="Times New Roman"/>
          <w:b w:val="false"/>
          <w:i w:val="false"/>
          <w:color w:val="000000"/>
          <w:sz w:val="24"/>
        </w:rPr>
        <w:t>(3.) Loss reported by 40% owned investee.</w:t>
      </w:r>
      <w:r>
        <w:rPr>
          <w:rFonts w:ascii="Times New Roman"/>
          <w:b w:val="false"/>
          <w:i w:val="false"/>
          <w:color w:val="000000"/>
          <w:sz w:val="24"/>
        </w:rPr>
        <w:t>(4.) Loss reported by 10% investee.</w:t>
      </w:r>
      <w:r>
        <w:rPr>
          <w:rFonts w:ascii="Times New Roman"/>
          <w:b w:val="false"/>
          <w:i w:val="false"/>
          <w:color w:val="000000"/>
          <w:sz w:val="24"/>
        </w:rPr>
        <w:t>(5.) Change from fair-value method to equity method. Prior income exceeded dividends.</w:t>
      </w:r>
      <w:r>
        <w:rPr>
          <w:rFonts w:ascii="Times New Roman"/>
          <w:b w:val="false"/>
          <w:i w:val="false"/>
          <w:color w:val="000000"/>
          <w:sz w:val="24"/>
        </w:rPr>
        <w:t>(6.) Change from fair-value method to equity method. Prior income was less than dividends.</w:t>
      </w:r>
      <w:r>
        <w:rPr>
          <w:rFonts w:ascii="Times New Roman"/>
          <w:b w:val="false"/>
          <w:i w:val="false"/>
          <w:color w:val="000000"/>
          <w:sz w:val="24"/>
        </w:rPr>
        <w:t>(7.) Change from equity method to fair-value method. Prior income exceeded dividends.</w:t>
      </w:r>
      <w:r>
        <w:rPr>
          <w:rFonts w:ascii="Times New Roman"/>
          <w:b w:val="false"/>
          <w:i w:val="false"/>
          <w:color w:val="000000"/>
          <w:sz w:val="24"/>
        </w:rPr>
        <w:t>(8.) Change from equity method to fair-value method. Prior income was less than dividends.</w:t>
      </w:r>
      <w:r>
        <w:rPr>
          <w:rFonts w:ascii="Times New Roman"/>
          <w:b w:val="false"/>
          <w:i w:val="false"/>
          <w:color w:val="000000"/>
          <w:sz w:val="24"/>
        </w:rPr>
        <w:t>(9.) Dividends received from 40% investee.</w:t>
      </w:r>
      <w:r>
        <w:rPr>
          <w:rFonts w:ascii="Times New Roman"/>
          <w:b w:val="false"/>
          <w:i w:val="false"/>
          <w:color w:val="000000"/>
          <w:sz w:val="24"/>
        </w:rPr>
        <w:t>(10.) Dividends received from 10% investee.</w:t>
      </w:r>
      <w:r>
        <w:rPr>
          <w:rFonts w:ascii="Times New Roman"/>
          <w:b w:val="false"/>
          <w:i w:val="false"/>
          <w:color w:val="000000"/>
          <w:sz w:val="24"/>
        </w:rPr>
        <w:t>(11.) Purchase of additional shares of investee.</w:t>
      </w:r>
      <w:r>
        <w:rPr>
          <w:rFonts w:ascii="Times New Roman"/>
          <w:b w:val="false"/>
          <w:i w:val="false"/>
          <w:color w:val="000000"/>
          <w:sz w:val="24"/>
        </w:rPr>
        <w:t>(12.) Investor’s share of gross profit from intra-entity inventory sales when using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Learning Objective : 01-03 Identify the sole criterion for applying the equity method of accounting a</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Learning Objective : 01-06a Understand the financial reporting consequences for a change to the equit</w:t>
        <w:br/>
      </w:r>
      <w:r>
        <w:rPr>
          <w:rFonts w:ascii="Times New Roman"/>
          <w:sz w:val="20"/>
        </w:rPr>
        <w:t>Bloom's : Analyze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Analytical Thinking</w:t>
        <w:br/>
      </w:r>
      <w:r>
        <w:rPr>
          <w:rFonts w:ascii="Times New Roman"/>
          <w:sz w:val="20"/>
        </w:rPr>
        <w:t>Topic : Report Change to Equity Method</w:t>
        <w:br/>
      </w:r>
      <w:r>
        <w:rPr>
          <w:rFonts w:ascii="Times New Roman"/>
          <w:sz w:val="20"/>
        </w:rPr>
        <w:t>Topic : Report Sale of Equity Investment</w:t>
        <w:br/>
      </w:r>
      <w:r>
        <w:rPr>
          <w:rFonts w:ascii="Times New Roman"/>
          <w:sz w:val="20"/>
        </w:rPr>
        <w:t>Accessibility : Screen Reader Compatible</w:t>
        <w:br/>
      </w:r>
      <w:r>
        <w:rPr>
          <w:rFonts w:ascii="Times New Roman"/>
          <w:sz w:val="20"/>
        </w:rPr>
        <w:t>Topic : Accounting for Investments―Various Methods</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Jarmon Company owns twenty-three percent (23%) of the voting common stock of Kaleski Corp. Jarmon does not have the ability to exercise significant influence over the operations of Kaleski. What method should Jarmon use to account for its investment in Kaleski?</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Accounting for Investments―Various Methods</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Idler Co. has an investment in Cowl Corp. for which it uses the equity method. Cowl has suffered large losses for several years, and the balance in the investment account has been reduced to zero. How should Idler account for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01-06c Understand the financial reporting consequences for investee losses.</w:t>
        <w:br/>
      </w:r>
      <w:r>
        <w:rPr>
          <w:rFonts w:ascii="Times New Roman"/>
          <w:sz w:val="20"/>
        </w:rPr>
        <w:t>Gradable : manual</w:t>
        <w:br/>
      </w:r>
      <w:r>
        <w:rPr>
          <w:rFonts w:ascii="Times New Roman"/>
          <w:sz w:val="20"/>
        </w:rPr>
        <w:t>Difficulty : 2 Medium</w:t>
        <w:br/>
      </w:r>
      <w:r>
        <w:rPr>
          <w:rFonts w:ascii="Times New Roman"/>
          <w:sz w:val="20"/>
        </w:rPr>
        <w:t>Topic : Report Investee Losses</w:t>
        <w:br/>
      </w:r>
      <w:r>
        <w:rPr>
          <w:rFonts w:ascii="Times New Roman"/>
          <w:sz w:val="20"/>
        </w:rPr>
        <w:t>AACSB : Communication</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types of transactions, exchanges, or events would indicate that an investor has the ability to exercise significant influence over the operations of an investee?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You are auditing a company that owns twenty percent of the voting common stock of another corporation and uses the equity method to account for the investment. How would you verify that the equity method is appropriate in this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How does the use of the equity method affect the investor’s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Bloom's : Analyze</w:t>
        <w:br/>
      </w:r>
      <w:r>
        <w:rPr>
          <w:rFonts w:ascii="Times New Roman"/>
          <w:sz w:val="20"/>
        </w:rPr>
        <w:t>Gradable : manual</w:t>
        <w:br/>
      </w:r>
      <w:r>
        <w:rPr>
          <w:rFonts w:ascii="Times New Roman"/>
          <w:sz w:val="20"/>
        </w:rPr>
        <w:t>Difficulty : 3 Hard</w:t>
        <w:br/>
      </w:r>
      <w:r>
        <w:rPr>
          <w:rFonts w:ascii="Times New Roman"/>
          <w:sz w:val="20"/>
        </w:rPr>
        <w:t>AACSB : Analytical Thinking</w:t>
        <w:br/>
      </w:r>
      <w:r>
        <w:rPr>
          <w:rFonts w:ascii="Times New Roman"/>
          <w:sz w:val="20"/>
        </w:rPr>
        <w:t>AACSB : Communication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What is the primary objective of the equity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What is the justification for the timing of recognition of income under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argument could be made against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How would a change be made from the equity method to the fair value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01-04 Describe the financial reporting for equity method investments and prepare</w:t>
        <w:br/>
      </w:r>
      <w:r>
        <w:rPr>
          <w:rFonts w:ascii="Times New Roman"/>
          <w:sz w:val="20"/>
        </w:rPr>
        <w:t>Bloom's : Analyze</w:t>
        <w:br/>
      </w:r>
      <w:r>
        <w:rPr>
          <w:rFonts w:ascii="Times New Roman"/>
          <w:sz w:val="20"/>
        </w:rPr>
        <w:t>Gradable : manual</w:t>
        <w:br/>
      </w:r>
      <w:r>
        <w:rPr>
          <w:rFonts w:ascii="Times New Roman"/>
          <w:sz w:val="20"/>
        </w:rPr>
        <w:t>Difficulty : 3 Hard</w:t>
        <w:br/>
      </w:r>
      <w:r>
        <w:rPr>
          <w:rFonts w:ascii="Times New Roman"/>
          <w:sz w:val="20"/>
        </w:rPr>
        <w:t>AACSB : Communication</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How should an investor account for, and report, an investee’s other comprehensive income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01-06b Understand the financial reporting consequences for investee's other comp</w:t>
        <w:br/>
      </w:r>
      <w:r>
        <w:rPr>
          <w:rFonts w:ascii="Times New Roman"/>
          <w:sz w:val="20"/>
        </w:rPr>
        <w:t>Gradable : manual</w:t>
        <w:br/>
      </w:r>
      <w:r>
        <w:rPr>
          <w:rFonts w:ascii="Times New Roman"/>
          <w:sz w:val="20"/>
        </w:rPr>
        <w:t>Difficulty : 2 Medium</w:t>
        <w:br/>
      </w:r>
      <w:r>
        <w:rPr>
          <w:rFonts w:ascii="Times New Roman"/>
          <w:sz w:val="20"/>
        </w:rPr>
        <w:t>Topic : Report Investee OCI</w:t>
        <w:br/>
      </w:r>
      <w:r>
        <w:rPr>
          <w:rFonts w:ascii="Times New Roman"/>
          <w:sz w:val="20"/>
        </w:rPr>
        <w:t>AACSB : Communication</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When should an investor not use the equity method for an investment of 21% in another corporation?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Gradable : manual</w:t>
        <w:br/>
      </w:r>
      <w:r>
        <w:rPr>
          <w:rFonts w:ascii="Times New Roman"/>
          <w:sz w:val="20"/>
        </w:rPr>
        <w:t>Difficulty : 1 Easy</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What is the primary objective of the fair value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AACSB : Reflective Thinking</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Accessibility : Screen Reader Compatible</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How would a change be made from the fair value method to the equity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01-06a Understand the financial reporting consequences for a change to the equit</w:t>
        <w:br/>
      </w:r>
      <w:r>
        <w:rPr>
          <w:rFonts w:ascii="Times New Roman"/>
          <w:sz w:val="20"/>
        </w:rPr>
        <w:t>Gradable : manual</w:t>
        <w:br/>
      </w:r>
      <w:r>
        <w:rPr>
          <w:rFonts w:ascii="Times New Roman"/>
          <w:sz w:val="20"/>
        </w:rPr>
        <w:t>Difficulty : 2 Medium</w:t>
        <w:br/>
      </w:r>
      <w:r>
        <w:rPr>
          <w:rFonts w:ascii="Times New Roman"/>
          <w:sz w:val="20"/>
        </w:rPr>
        <w:t>Topic : Report Change to Equity Method</w:t>
        <w:br/>
      </w:r>
      <w:r>
        <w:rPr>
          <w:rFonts w:ascii="Times New Roman"/>
          <w:sz w:val="20"/>
        </w:rPr>
        <w:t>AACSB : Communication</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When the fair value option is elected for application to an investment in which the investor has significant influence over the investee, how would the investor reflect the use of the fair value option in its balance sheet and in its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Gradable : manual</w:t>
        <w:br/>
      </w:r>
      <w:r>
        <w:rPr>
          <w:rFonts w:ascii="Times New Roman"/>
          <w:sz w:val="20"/>
        </w:rPr>
        <w:t>Difficulty : 2 Medium</w:t>
        <w:br/>
      </w:r>
      <w:r>
        <w:rPr>
          <w:rFonts w:ascii="Times New Roman"/>
          <w:sz w:val="20"/>
        </w:rPr>
        <w:t>AACSB : Communication</w:t>
        <w:br/>
      </w:r>
      <w:r>
        <w:rPr>
          <w:rFonts w:ascii="Times New Roman"/>
          <w:sz w:val="20"/>
        </w:rPr>
        <w:t>Learning Objective : 01-08 Explain the rationale and reporting implications of fair-value accounting</w:t>
        <w:br/>
      </w:r>
      <w:r>
        <w:rPr>
          <w:rFonts w:ascii="Times New Roman"/>
          <w:sz w:val="20"/>
        </w:rPr>
        <w:t>Accessibility : Screen Reader Compatible</w:t>
        <w:br/>
      </w:r>
      <w:r>
        <w:rPr>
          <w:rFonts w:ascii="Times New Roman"/>
          <w:sz w:val="20"/>
        </w:rPr>
        <w:t>Topic : Report Using Fair-Value Accounting Option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Baker Company owns 15% of the common stock of Charlie Corporation and used the fair-value method to account for this investment. Charlie reported net income of $120,000 for 2021 and paid dividends of $70,000 on October 1, 2021. How much income should Baker recognize on this investment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Loeffler Company owns 35% of the common stock of Tetter Co. and uses the equity method to account for the investment. During 2021, Tetter reported income of $260,000 and paid dividends of $90,000. There is no amortization associated with the investment. During 2021, how much income should Loeffler recognize related to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$59,500.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On January 1, 2021, Lee Company paid $1,870,000 for 80,000 shares of Thomas Co.’s voting common stock which represents a 45% investment. No allocation to goodwill or other specific account was necessary. Significant influence over Thomas was achieved by this acquisition. Thomas distributed a dividend of $2.00 per share during 2021 and reported net income of $720,000. What was the balance in the </w:t>
      </w:r>
      <w:r>
        <w:rPr>
          <w:rFonts w:ascii="Times New Roman"/>
          <w:b w:val="false"/>
          <w:i/>
          <w:color w:val="000000"/>
          <w:sz w:val="24"/>
        </w:rPr>
        <w:t>Investment in Thomas Co.</w:t>
      </w:r>
      <w:r>
        <w:rPr>
          <w:rFonts w:ascii="Times New Roman"/>
          <w:b w:val="false"/>
          <w:i w:val="false"/>
          <w:color w:val="000000"/>
          <w:sz w:val="24"/>
        </w:rPr>
        <w:t xml:space="preserve"> account found in the financial records of Lee as of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$2,114,000.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$2,194,000.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$2,354,000.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$2,158,000.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$2,034,000.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An investor should </w:t>
      </w:r>
      <w:r>
        <w:rPr>
          <w:rFonts w:ascii="Times New Roman"/>
          <w:b w:val="false"/>
          <w:i w:val="false"/>
          <w:color w:val="000000"/>
          <w:sz w:val="24"/>
          <w:u w:val="single"/>
        </w:rPr>
        <w:t xml:space="preserve">always </w:t>
      </w:r>
      <w:r>
        <w:rPr>
          <w:rFonts w:ascii="Times New Roman"/>
          <w:b w:val="false"/>
          <w:i w:val="false"/>
          <w:color w:val="000000"/>
          <w:sz w:val="24"/>
        </w:rPr>
        <w:t>use the equity method to account for an investment if: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has the ability to exercise significant influence over the operating policies of the investee.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owns 30% of an investee’s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has a controlling interest (more than 50%) of an investee’s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investment was made primarily to earn a return on excess cash.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does not have the ability to exercise significant influence over the operating policies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Gradable : automatic</w:t>
        <w:br/>
      </w:r>
      <w:r>
        <w:rPr>
          <w:rFonts w:ascii="Times New Roman"/>
          <w:sz w:val="20"/>
        </w:rPr>
        <w:t>Difficulty : 1 Easy</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On January 1, 2019, Dermot Company purchased 15% of the voting common stock of Horne Corp. On January 1, 2021, Dermot purchased 28% of Horne’s voting common stock. If Dermot achieves significant influence with this new investment, how must Dermot account for the change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must use the equity method for 2021 but should make no changes in its financial statements for 2020 and 2019.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should prepare consolidated financial statements for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must restate the financial statements for 2020 and 2019 as if the equity method had been used for those two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should record a prior period adjustment at the beginning of 2021 but should not restate the financial statements for 2020 and 2019.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must restate the financial statements for 2020 as if the equity method had been used then.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Understand</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2 Medium</w:t>
        <w:br/>
      </w:r>
      <w:r>
        <w:rPr>
          <w:rFonts w:ascii="Times New Roman"/>
          <w:sz w:val="20"/>
        </w:rPr>
        <w:t>AACSB : Analytical Thinking</w:t>
        <w:br/>
      </w:r>
      <w:r>
        <w:rPr>
          <w:rFonts w:ascii="Times New Roman"/>
          <w:sz w:val="20"/>
        </w:rPr>
        <w:t>Topic : Report Change to Equity Method</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During January 2020, Nelson, Inc. acquired 30% of the outstanding common stock of Fuel Co. for $1,600,000. This investment gave Nelson the ability to exercise significant influence over Fuel. Fuel’s assets on that date were recorded at $7,200,000 with liabilities of $3,400,000. Any excess of cost over book value of Nelson’s investment was attributed to unrecorded patents having a remaining useful life of ten years.</w:t>
      </w:r>
      <w:r>
        <w:rPr>
          <w:rFonts w:ascii="Times New Roman"/>
          <w:b w:val="false"/>
          <w:i w:val="false"/>
          <w:color w:val="000000"/>
          <w:sz w:val="24"/>
        </w:rPr>
        <w:t xml:space="preserve">In 2020, Fuel reported net income of $650,000. For 2021, Fuel reported net income of $800,000. Dividends of $250,000 were paid in each of these two years. What was the reported balance of Nelson’s </w:t>
      </w:r>
      <w:r>
        <w:rPr>
          <w:rFonts w:ascii="Times New Roman"/>
          <w:b w:val="false"/>
          <w:i/>
          <w:color w:val="000000"/>
          <w:sz w:val="24"/>
        </w:rPr>
        <w:t>Investment in Fuel Co.</w:t>
      </w:r>
      <w:r>
        <w:rPr>
          <w:rFonts w:ascii="Times New Roman"/>
          <w:b w:val="false"/>
          <w:i w:val="false"/>
          <w:color w:val="000000"/>
          <w:sz w:val="24"/>
        </w:rPr>
        <w:t xml:space="preserve">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$1,793,000.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$1,885,000.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$1,977,000.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$1,054,300.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On January 1, 2021, Bangle Company purchased 30% of the voting common stock of Sleat Corp. for $1,000,000. Any excess of cost over book value was assigned to goodwill. During 2021, Sleat paid dividends of $24,000 and reported a net loss of $140,000. 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$950,800.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$958,000.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$990,100.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$956,400.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01-06c Understand the financial reporting consequences for investee losses.</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Investee Losses</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On January 1, 2021, Halpert Inc. acquired 30% of Schrute Corp. Halpert used the equity method to account for the investment. On January 1, 2022, Halpert sold two-thirds of its investment in Schrute. It no longer had the ability to exercise significant influence over the operations of Schrute. How should Halpert account for this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Halpert should continue to use the equity method to maintain consistency in its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Halpert should restate the prior years’ financial statements and change the balance in the investment account as if the fair-value method had been used since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Halpert has the option of using either the equity method or the fair-value method for 2021 and future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Halpert should report the effect of the change from the equity to the fair-value method as a retrospective change in accounting principle.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Halpert should use the fair-value method for 2022 and future years, but should not make a retrospective adjustment to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2 Medium</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Kane Inc. owns 30% of Woodhouse Co. and applies the equity method. During the current year, Kane bought inventory costing $71,500 and then sold it to Woodhouse for $130,000. At year-end, only $30,000 of merchandise was still being held by Woodhouse. What amount of intra-entity gross profit must be deferred by Kane?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$17,550.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On January 4, 2021, Snow Co. purchased 40,000 shares (40%) of the common stock of Walker Corp., paying $900,000. There was no goodwill or other cost allocation associated with the investment. Snow has significant influence over Walker. During 2021, Walker reported income of $240,000 and paid dividends of $75,000. On January 2, 2022, Snow sold 5,000 shares for $125,000. What was the balance in the investment account after the shares had been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$871,500.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$845,250.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$761,250.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$897,250.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$950,250.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What is the amount of goodwill associated with the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$264,000.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For 2021, what is the total amount of excess amortization for Madison’s 30% investment in Huntsville?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Town Co. appropriately uses the equity method to account for its investment in Country Corp. As of the end of 2021, Country’s common stock had suffered a significant decline in fair value, which is expected to recover over the next several months. How should Town account for the decline in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Town should switch to the fair-value method.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accounting because the decline in fair value is temporary.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Town should decrease the balance in the investment account to the current value and recognize a loss on the income statement.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Town should not record its share of Country’s 2021 earnings until the decline in the fair value of the stock has been recovered.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Town should decrease the balance in the investment account to the current value and recognize an unrealized loss on the balance sheet.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Learning Objective : 01-06c Understand the financial reporting consequences for investee losses.</w:t>
        <w:br/>
      </w:r>
      <w:r>
        <w:rPr>
          <w:rFonts w:ascii="Times New Roman"/>
          <w:sz w:val="20"/>
        </w:rPr>
        <w:t>Gradable : automatic</w:t>
        <w:br/>
      </w:r>
      <w:r>
        <w:rPr>
          <w:rFonts w:ascii="Times New Roman"/>
          <w:sz w:val="20"/>
        </w:rPr>
        <w:t>Difficulty : 1 Easy</w:t>
        <w:br/>
      </w:r>
      <w:r>
        <w:rPr>
          <w:rFonts w:ascii="Times New Roman"/>
          <w:sz w:val="20"/>
        </w:rPr>
        <w:t>Topic : Report Investee Losses</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An </w:t>
      </w:r>
      <w:r>
        <w:rPr>
          <w:rFonts w:ascii="Times New Roman"/>
          <w:b w:val="false"/>
          <w:i/>
          <w:color w:val="000000"/>
          <w:sz w:val="24"/>
        </w:rPr>
        <w:t>upstream</w:t>
      </w:r>
      <w:r>
        <w:rPr>
          <w:rFonts w:ascii="Times New Roman"/>
          <w:b w:val="false"/>
          <w:i w:val="false"/>
          <w:color w:val="000000"/>
          <w:sz w:val="24"/>
        </w:rPr>
        <w:t xml:space="preserve"> sale of inventory is a sale: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Between subsidiaries owned by a common parent.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With the transfer of goods scheduled by contract to occur on a specified future date.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which the goods are physically transported by boat from a subsidiary to its parent.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Made by the investor to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Made by the investee to the investor.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1 Easy</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would Borgin have recognized in 2021 from its ownership interest in Burkes?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$27,640.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$22,672.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$21,748.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was the balance in the </w:t>
      </w:r>
      <w:r>
        <w:rPr>
          <w:rFonts w:ascii="Times New Roman"/>
          <w:b w:val="false"/>
          <w:i/>
          <w:color w:val="000000"/>
          <w:sz w:val="24"/>
        </w:rPr>
        <w:t>Investment in Burkes Co.</w:t>
      </w:r>
      <w:r>
        <w:rPr>
          <w:rFonts w:ascii="Times New Roman"/>
          <w:b w:val="false"/>
          <w:i w:val="false"/>
          <w:color w:val="000000"/>
          <w:sz w:val="24"/>
        </w:rPr>
        <w:t xml:space="preserve"> account at the end of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$401,136.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$413,872.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$418,840.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$412,432.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$410,148.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On Corzine’s December 31, 2022 balance sheet, what balance was reported for the </w:t>
      </w:r>
      <w:r>
        <w:rPr>
          <w:rFonts w:ascii="Times New Roman"/>
          <w:b w:val="false"/>
          <w:i/>
          <w:color w:val="000000"/>
          <w:sz w:val="24"/>
        </w:rPr>
        <w:t>Investment in Hammon Co.</w:t>
      </w:r>
      <w:r>
        <w:rPr>
          <w:rFonts w:ascii="Times New Roman"/>
          <w:b w:val="false"/>
          <w:i w:val="false"/>
          <w:color w:val="000000"/>
          <w:sz w:val="24"/>
        </w:rPr>
        <w:t xml:space="preserve"> account?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$143,400.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$141,200.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r>
        <w:rPr>
          <w:rFonts w:ascii="Times New Roman"/>
          <w:sz w:val="20"/>
        </w:rPr>
        <w:t>Topic : Accounting for Investments―Various Methods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should Corzine have reported for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$16,420.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$38,340.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$32,840.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In a situation where the investor exercises significant influence over the investee, which of the following entries is </w:t>
      </w:r>
      <w:r>
        <w:rPr>
          <w:rFonts w:ascii="Times New Roman"/>
          <w:b w:val="false"/>
          <w:i/>
          <w:color w:val="000000"/>
          <w:sz w:val="24"/>
        </w:rPr>
        <w:t>not</w:t>
      </w:r>
      <w:r>
        <w:rPr>
          <w:rFonts w:ascii="Times New Roman"/>
          <w:b w:val="false"/>
          <w:i w:val="false"/>
          <w:color w:val="000000"/>
          <w:sz w:val="24"/>
        </w:rPr>
        <w:t xml:space="preserve"> actually posted to the books of the investor?</w:t>
      </w:r>
      <w:r>
        <w:rPr>
          <w:rFonts w:ascii="Times New Roman"/>
          <w:b w:val="false"/>
          <w:i w:val="false"/>
          <w:color w:val="000000"/>
          <w:sz w:val="24"/>
        </w:rPr>
        <w:t>(I) Debit to the Investment account, and a Credit to the Equity in Investee Income account.</w:t>
      </w:r>
      <w:r>
        <w:rPr>
          <w:rFonts w:ascii="Times New Roman"/>
          <w:b w:val="false"/>
          <w:i w:val="false"/>
          <w:color w:val="000000"/>
          <w:sz w:val="24"/>
        </w:rPr>
        <w:t>(II) Debit to Cash (for dividends received from the investee), and a Credit to Investment Income account.</w:t>
      </w:r>
      <w:r>
        <w:rPr>
          <w:rFonts w:ascii="Times New Roman"/>
          <w:b w:val="false"/>
          <w:i w:val="false"/>
          <w:color w:val="000000"/>
          <w:sz w:val="24"/>
        </w:rPr>
        <w:t>(III) Debit to Cash (for dividends received from the investee), and a Credit to the Dividend Receivable.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Entries I and II.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Entries II and III.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II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Entry III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2 Medium</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All of the following would require use of the equity method for investments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Material intra-entity transactions.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 participation in the policy-making process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Valuation at fair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Technological dependency.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Interchange of managerial personnel.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Learning Objective : 01-03 Identify the sole criterion for applying the equity method of accounting a</w:t>
        <w:br/>
      </w:r>
      <w:r>
        <w:rPr>
          <w:rFonts w:ascii="Times New Roman"/>
          <w:sz w:val="20"/>
        </w:rPr>
        <w:t>Gradable : automatic</w:t>
        <w:br/>
      </w:r>
      <w:r>
        <w:rPr>
          <w:rFonts w:ascii="Times New Roman"/>
          <w:sz w:val="20"/>
        </w:rPr>
        <w:t>Difficulty : 1 Easy</w:t>
        <w:br/>
      </w:r>
      <w:r>
        <w:rPr>
          <w:rFonts w:ascii="Times New Roman"/>
          <w:sz w:val="20"/>
        </w:rPr>
        <w:t>Accessibility : Screen Reader Compatible</w:t>
        <w:br/>
      </w:r>
      <w:r>
        <w:rPr>
          <w:rFonts w:ascii="Times New Roman"/>
          <w:sz w:val="20"/>
        </w:rPr>
        <w:t>Topic : Equity Method―Significant Influence Criterion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All of the following statements regarding the investment account using the equity method are true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investment is recorded at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Dividends received are reported as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investee increases the investment account.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received reduce the investment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Amortization of fair value over cost reduces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2 Medium</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company has been using the fair-value method to account for its investment. The company now has the ability to significantly influence the investee and the equity method has been deemed appropriate.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be recorded as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2 Medium</w:t>
        <w:br/>
      </w:r>
      <w:r>
        <w:rPr>
          <w:rFonts w:ascii="Times New Roman"/>
          <w:sz w:val="20"/>
        </w:rPr>
        <w:t>Topic : Report Change to Equity Method</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company has been using the equity method to account for its investment. The company sells shares and does not continue to have significant influence.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reduce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2 Medium</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When an investor appropriately applies the equity method, how should it account for any investee Other Comprehensive Income (OCI)?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Under the equity method, the investor only recognizes its share of investee’s income from continuing operations.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OCI would reduce the investment.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OCI would increase the investment.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OCI would not appear on the investor’s income statement but would be a component of comprehensive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OCI would be ignored but shown in the investor’s notes to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01-06b Understand the financial reporting consequences for investee's other comp</w:t>
        <w:br/>
      </w:r>
      <w:r>
        <w:rPr>
          <w:rFonts w:ascii="Times New Roman"/>
          <w:sz w:val="20"/>
        </w:rPr>
        <w:t>Gradable : automatic</w:t>
        <w:br/>
      </w:r>
      <w:r>
        <w:rPr>
          <w:rFonts w:ascii="Times New Roman"/>
          <w:sz w:val="20"/>
        </w:rPr>
        <w:t>Difficulty : 2 Medium</w:t>
        <w:br/>
      </w:r>
      <w:r>
        <w:rPr>
          <w:rFonts w:ascii="Times New Roman"/>
          <w:sz w:val="20"/>
        </w:rPr>
        <w:t>Topic : Report Investee OCI</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How should a permanent loss in value of an investment using the equity method be treated?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equity in investee income is reduced.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loss is reported in the same manner as a loss in value of other long-term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investor’s stockholders’ equity is reduced.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 is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Record an offset to 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01-06c Understand the financial reporting consequences for investee losses.</w:t>
        <w:br/>
      </w:r>
      <w:r>
        <w:rPr>
          <w:rFonts w:ascii="Times New Roman"/>
          <w:sz w:val="20"/>
        </w:rPr>
        <w:t>Gradable : automatic</w:t>
        <w:br/>
      </w:r>
      <w:r>
        <w:rPr>
          <w:rFonts w:ascii="Times New Roman"/>
          <w:sz w:val="20"/>
        </w:rPr>
        <w:t>Difficulty : 2 Medium</w:t>
        <w:br/>
      </w:r>
      <w:r>
        <w:rPr>
          <w:rFonts w:ascii="Times New Roman"/>
          <w:sz w:val="20"/>
        </w:rPr>
        <w:t>Topic : Report Investee Losses</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Under the equity method, when the company’s share of cumulative losses equals its investment and the company has no obligation or intention to fund such additional losses,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should change to the fair-value method to account for its investment.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investor should suspend applying the equity method until the investee reports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should suspend applying the equity method and not record any equity in income of investee until its share of future profits is sufficient to recover losses that have not previously been recorded.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cumulative losses should be reported as a prior period adjustment.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should report these as equity method losses in its income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01-06c Understand the financial reporting consequences for investee losses.</w:t>
        <w:br/>
      </w:r>
      <w:r>
        <w:rPr>
          <w:rFonts w:ascii="Times New Roman"/>
          <w:sz w:val="20"/>
        </w:rPr>
        <w:t>Gradable : automatic</w:t>
        <w:br/>
      </w:r>
      <w:r>
        <w:rPr>
          <w:rFonts w:ascii="Times New Roman"/>
          <w:sz w:val="20"/>
        </w:rPr>
        <w:t>Difficulty : 2 Medium</w:t>
        <w:br/>
      </w:r>
      <w:r>
        <w:rPr>
          <w:rFonts w:ascii="Times New Roman"/>
          <w:sz w:val="20"/>
        </w:rPr>
        <w:t>Topic : Report Investee Losses</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When an investor sells shares of its investee company,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recognized gain or loss is reported as the difference between selling price and original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recognized gain or loss is reported as the difference between carrying value and original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recognized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unrealized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Any gain or loss is reported as part of comprehensive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2 Medium</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When applying the equity method, how is the excess of cost over book value calculated and accounted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excess is allocated to the difference between fair value and book value multiplied by the percent ownership of current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excess is allocated to the difference between fair value and book value multiplied by the percent ownership of total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excess is allocated to the difference between fair value and book value multiplied by the percent ownership of net 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excess is allocated to 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excess is ignored.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Gradable : automatic</w:t>
        <w:br/>
      </w:r>
      <w:r>
        <w:rPr>
          <w:rFonts w:ascii="Times New Roman"/>
          <w:sz w:val="20"/>
        </w:rPr>
        <w:t>Difficulty : 2 Medium</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Method―Allocate Cost of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After allocating cost in excess of book value, which asset or liability would not be amortized over a useful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goods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Property, plant, &amp; equipment.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Patents.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Bonds payable.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Remember</w:t>
        <w:br/>
      </w:r>
      <w:r>
        <w:rPr>
          <w:rFonts w:ascii="Times New Roman"/>
          <w:sz w:val="20"/>
        </w:rPr>
        <w:t>AACSB : Reflective Thinking</w:t>
        <w:br/>
      </w:r>
      <w:r>
        <w:rPr>
          <w:rFonts w:ascii="Times New Roman"/>
          <w:sz w:val="20"/>
        </w:rPr>
        <w:t>Gradable : automatic</w:t>
        <w:br/>
      </w:r>
      <w:r>
        <w:rPr>
          <w:rFonts w:ascii="Times New Roman"/>
          <w:sz w:val="20"/>
        </w:rPr>
        <w:t>Difficulty : 1 Easy</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investee must defer upstream ending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investee must defer upstream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must defer downstream ending inventory profits.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must defer downstream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must defer upstream beginning inventory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and investee make reciprocal entries to defer and recognize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same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Different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adjustments are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Adjustments will be made only when profits are known upon sale to outsiders.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amount allocated to goodwill at January 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Method―Amortize Allocations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$119,500.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$125,500.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$116,500.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Equity Method―Amortize Allocations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2020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2021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Which of the following is true regarding the change from the fair-value method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Jones must record a debit to additional paid-in capital for $200,000.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Jones must record a debit to additional paid-in capital for $15,000.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Jones must retrospectively apply the equity method to interests reported under the fair-value method.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Jones must record a debit of $200,000 to the Investment in Anderson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Jones must record a credit of $15,000 to the Investment in Anderson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01-06a Understand the financial reporting consequences for a change to the equit</w:t>
        <w:br/>
      </w:r>
      <w:r>
        <w:rPr>
          <w:rFonts w:ascii="Times New Roman"/>
          <w:sz w:val="20"/>
        </w:rPr>
        <w:t>Bloom's : Analyze</w:t>
        <w:br/>
      </w:r>
      <w:r>
        <w:rPr>
          <w:rFonts w:ascii="Times New Roman"/>
          <w:sz w:val="20"/>
        </w:rPr>
        <w:t>Gradable : automatic</w:t>
        <w:br/>
      </w:r>
      <w:r>
        <w:rPr>
          <w:rFonts w:ascii="Times New Roman"/>
          <w:sz w:val="20"/>
        </w:rPr>
        <w:t>Difficulty : 3 Hard</w:t>
        <w:br/>
      </w:r>
      <w:r>
        <w:rPr>
          <w:rFonts w:ascii="Times New Roman"/>
          <w:sz w:val="20"/>
        </w:rPr>
        <w:t>AACSB : Analytical Thinking</w:t>
        <w:br/>
      </w:r>
      <w:r>
        <w:rPr>
          <w:rFonts w:ascii="Times New Roman"/>
          <w:sz w:val="20"/>
        </w:rPr>
        <w:t>Topic : Report Change to Equity Method</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balance in the investment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$335,000.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at the end of 2021 to defer the recognition of the investor’s share of the intra-entity gross profits?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64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in 2022 to recognize its share of the intra-entity gross profit that was deferred in 2021?</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63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is the balance in the investment account for the 15% ownership interest, at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$172,500.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$170,000.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$78,750.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r>
        <w:rPr>
          <w:rFonts w:ascii="Times New Roman"/>
          <w:sz w:val="20"/>
        </w:rPr>
        <w:t>Topic : Equity Method―Allocate Cost of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$517,500.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$537,500.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$211,250.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April 1, 2022 just before the sale of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$447,500.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$468,750.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$535,875.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$624,375.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of Cook’s net income did Mehan report for the year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$61,750.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$81,250.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$59,250.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AACSB : Reflective Thinking</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$3,180,000.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$2,028,000.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amount of equity income would Anderson recognize in 2021 from its ownership interest in Barney?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Analytical Thinking</w:t>
        <w:br/>
      </w:r>
      <w:r>
        <w:rPr>
          <w:rFonts w:ascii="Times New Roman"/>
          <w:sz w:val="20"/>
        </w:rPr>
        <w:t>Accessibility : Screen Reader Compatible</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Luffman Inc. owns 30% of Bruce Inc. and appropriately applies the equity method. During the current year, Bruce bought inventory costing $52,000 and then sold it to Luffman for $80,000. At year-end, all of the merchandise had been sold by Luffman to other customers. What amount of gross profit on intra-entity sales must be deferred by Luffman?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$1,560,000.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$1,860,000.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gain/loss on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 gain.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balance in the investment account after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appropriate journal entry to record the sale of the 15,000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812,000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790,000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815,000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Bloom's : Analyze</w:t>
        <w:br/>
      </w:r>
      <w:r>
        <w:rPr>
          <w:rFonts w:ascii="Times New Roman"/>
          <w:sz w:val="20"/>
        </w:rPr>
        <w:t>Gradable : automatic</w:t>
        <w:br/>
      </w:r>
      <w:r>
        <w:rPr>
          <w:rFonts w:ascii="Times New Roman"/>
          <w:sz w:val="20"/>
        </w:rPr>
        <w:t>Difficulty : 3 Hard</w:t>
        <w:br/>
      </w:r>
      <w:r>
        <w:rPr>
          <w:rFonts w:ascii="Times New Roman"/>
          <w:sz w:val="20"/>
        </w:rPr>
        <w:t>AACSB : Analytical Thinking</w:t>
        <w:br/>
      </w:r>
      <w:r>
        <w:rPr>
          <w:rFonts w:ascii="Times New Roman"/>
          <w:sz w:val="20"/>
        </w:rPr>
        <w:t>Topic : Report Sale of Equity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$544,000.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gain/loss on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 gain.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 gain.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balance in the investment account after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$454,000.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$465,000.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appropriate journal entry to record the sale of the 10,000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149,000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Learning Objective : 01-06d Understand the financial reporting consequences for sales of equity metho</w:t>
        <w:br/>
      </w:r>
      <w:r>
        <w:rPr>
          <w:rFonts w:ascii="Times New Roman"/>
          <w:sz w:val="20"/>
        </w:rPr>
        <w:t>Bloom's : Analyze</w:t>
        <w:br/>
      </w:r>
      <w:r>
        <w:rPr>
          <w:rFonts w:ascii="Times New Roman"/>
          <w:sz w:val="20"/>
        </w:rPr>
        <w:t>Gradable : automatic</w:t>
        <w:br/>
      </w:r>
      <w:r>
        <w:rPr>
          <w:rFonts w:ascii="Times New Roman"/>
          <w:sz w:val="20"/>
        </w:rPr>
        <w:t>Difficulty : 3 Hard</w:t>
        <w:br/>
      </w:r>
      <w:r>
        <w:rPr>
          <w:rFonts w:ascii="Times New Roman"/>
          <w:sz w:val="20"/>
        </w:rPr>
        <w:t>AACSB : Analytical Thinking</w:t>
        <w:br/>
      </w:r>
      <w:r>
        <w:rPr>
          <w:rFonts w:ascii="Times New Roman"/>
          <w:sz w:val="20"/>
        </w:rPr>
        <w:t>Topic : Report Sale of Equity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excess amortization expense for Barley’s investment in Wheat for the first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Excess Purchase Price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excess amortization expense for Jackie Corp’s investment in Rob Co. for year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balance in Jackie Corp’s</w:t>
      </w:r>
      <w:r>
        <w:rPr>
          <w:rFonts w:ascii="Times New Roman"/>
          <w:b w:val="false"/>
          <w:i/>
          <w:color w:val="000000"/>
          <w:sz w:val="24"/>
        </w:rPr>
        <w:t xml:space="preserve"> Investment in Rob Co.</w:t>
      </w:r>
      <w:r>
        <w:rPr>
          <w:rFonts w:ascii="Times New Roman"/>
          <w:b w:val="false"/>
          <w:i w:val="false"/>
          <w:color w:val="000000"/>
          <w:sz w:val="24"/>
        </w:rPr>
        <w:t xml:space="preserve">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$2,200,000.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Equity Method―Basic Journal Entries</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$576,000.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$598,400.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$614,400.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$616,000.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$32,000.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$49,600.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Equity Method―Basic Journal Entries</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$624,000.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$636,000.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$646,000.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$656,000.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$666,000.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$29,100.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$30,900.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Equity Method―Basic Journal Entries</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$463,500.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$467,100.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$468,000.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$468,900.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$34,200.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$34,800.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$37,800.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Equity Method―Basic Journal Entries</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$488,700.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$489,600.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$492,000.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$514,500.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Which of the following results in a decrease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 of gross profit on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Purchase of additional common stock by the investor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AACSB : Analytical Thinking</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Which of the following results in an increase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Dividends paid by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paid by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AACSB : Analytical Thinking</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Which of the following results in a decrease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Other Comprehensive Income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AACSB : Analytical Thinking</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results in an increase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Amortizations of purchase price over book value on date of purchase.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Amortizations, since date of purchase, of purchase price over book value on date of purchase.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 of a portion of the investment at a gain to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at a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Understand</w:t>
        <w:br/>
      </w:r>
      <w:r>
        <w:rPr>
          <w:rFonts w:ascii="Times New Roman"/>
          <w:sz w:val="20"/>
        </w:rPr>
        <w:t>Learning Objective : 01-07 Describe the rationale and computations to defer the investor's share of g</w:t>
        <w:br/>
      </w:r>
      <w:r>
        <w:rPr>
          <w:rFonts w:ascii="Times New Roman"/>
          <w:sz w:val="20"/>
        </w:rPr>
        <w:t>Gradable : automatic</w:t>
        <w:br/>
      </w:r>
      <w:r>
        <w:rPr>
          <w:rFonts w:ascii="Times New Roman"/>
          <w:sz w:val="20"/>
        </w:rPr>
        <w:t>Difficulty : 2 Medium</w:t>
        <w:br/>
      </w:r>
      <w:r>
        <w:rPr>
          <w:rFonts w:ascii="Times New Roman"/>
          <w:sz w:val="20"/>
        </w:rPr>
        <w:t>AACSB : Analytical Thinking</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How much is the adjustment to the Investment in Stanley Corporation for the change from the fair-value method to the equity method on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debit of $16,500.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debit of $21,500.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debit of $90,000.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debit of $165,000.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adjustment.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What is the balance in the Investment in Stanley Corporation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$415,000.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$512,500.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$539,500.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Accessibility : Screen Reader Compatible</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How are dividends received from Inkblot reflected in Trycker’s accounting records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investment in Inkblot by $280,000.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Investment in Inkblot by $280,000.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Reduce Investment in Inkblot by $120,000.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Investment in Inkblot by $120,000.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Increase Dividend Income by $120,000.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AICPA : BB Critical Thinking</w:t>
        <w:br/>
      </w:r>
      <w:r>
        <w:rPr>
          <w:rFonts w:ascii="Times New Roman"/>
          <w:sz w:val="20"/>
        </w:rPr>
        <w:t>AICPA : FN Measurement</w:t>
        <w:br/>
      </w:r>
      <w:r>
        <w:rPr>
          <w:rFonts w:ascii="Times New Roman"/>
          <w:sz w:val="20"/>
        </w:rPr>
        <w:t>Bloom's : Analyze</w:t>
        <w:br/>
      </w:r>
      <w:r>
        <w:rPr>
          <w:rFonts w:ascii="Times New Roman"/>
          <w:sz w:val="20"/>
        </w:rPr>
        <w:t>Gradable : automatic</w:t>
        <w:br/>
      </w:r>
      <w:r>
        <w:rPr>
          <w:rFonts w:ascii="Times New Roman"/>
          <w:sz w:val="20"/>
        </w:rPr>
        <w:t>Difficulty : 3 Hard</w:t>
        <w:br/>
      </w:r>
      <w:r>
        <w:rPr>
          <w:rFonts w:ascii="Times New Roman"/>
          <w:sz w:val="20"/>
        </w:rPr>
        <w:t>AACSB : Analytical Thinking</w:t>
        <w:br/>
      </w:r>
      <w:r>
        <w:rPr>
          <w:rFonts w:ascii="Times New Roman"/>
          <w:sz w:val="20"/>
        </w:rPr>
        <w:t>Learning Objective : 01-08 Explain the rationale and reporting implications of fair-value accounting</w:t>
        <w:br/>
      </w:r>
      <w:r>
        <w:rPr>
          <w:rFonts w:ascii="Times New Roman"/>
          <w:sz w:val="20"/>
        </w:rPr>
        <w:t>Accessibility : Screen Reader Compatible</w:t>
        <w:br/>
      </w:r>
      <w:r>
        <w:rPr>
          <w:rFonts w:ascii="Times New Roman"/>
          <w:sz w:val="20"/>
        </w:rPr>
        <w:t>Topic : Report Using Fair-Value Accounting Option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At what amount will Inkblot be reflected in Trycker’s December 31, 2020 balance 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Gradable : automatic</w:t>
        <w:br/>
      </w:r>
      <w:r>
        <w:rPr>
          <w:rFonts w:ascii="Times New Roman"/>
          <w:sz w:val="20"/>
        </w:rPr>
        <w:t>Difficulty : 3 Hard</w:t>
        <w:br/>
      </w:r>
      <w:r>
        <w:rPr>
          <w:rFonts w:ascii="Times New Roman"/>
          <w:sz w:val="20"/>
        </w:rPr>
        <w:t>AACSB : Knowledge Application</w:t>
        <w:br/>
      </w:r>
      <w:r>
        <w:rPr>
          <w:rFonts w:ascii="Times New Roman"/>
          <w:sz w:val="20"/>
        </w:rPr>
        <w:t>Learning Objective : 01-08 Explain the rationale and reporting implications of fair-value accounting</w:t>
        <w:br/>
      </w:r>
      <w:r>
        <w:rPr>
          <w:rFonts w:ascii="Times New Roman"/>
          <w:sz w:val="20"/>
        </w:rPr>
        <w:t>Accessibility : Screen Reader Compatible</w:t>
        <w:br/>
      </w:r>
      <w:r>
        <w:rPr>
          <w:rFonts w:ascii="Times New Roman"/>
          <w:sz w:val="20"/>
        </w:rPr>
        <w:t>Topic : Report Using Fair-Value Accounting Option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Franklin Co. owns 40% of the voting common stock of Academic Services Inc. Franklin uses the equity method to account for its investment. On January 1, 2021, the balance in the investment account was $726,000. During 2021, Academic Services reported net income of $150,000 and paid dividends of $40,000. Any excess of fair value over book value is attributable to goodwill with an indefinite life.</w:t>
      </w:r>
      <w:r>
        <w:rPr>
          <w:rFonts w:ascii="Times New Roman"/>
          <w:b w:val="false"/>
          <w:i w:val="false"/>
          <w:color w:val="000000"/>
          <w:sz w:val="24"/>
        </w:rPr>
        <w:t>What is the balance in the investment account as of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Tinker Co. owns 25% of the common stock of Harbor Co. and uses the equity method to account for the investment. During 2021, Harbor reported income of $120,000 and paid dividends of $40,000. Harbor owns a building with a useful life of twenty years, which was undervalued by $80,000 at the time that Tinker bought its shares of Harbor’s common stock.</w:t>
      </w:r>
      <w:r>
        <w:rPr>
          <w:rFonts w:ascii="Times New Roman"/>
          <w:b/>
          <w:i w:val="false"/>
          <w:color w:val="000000"/>
          <w:sz w:val="24"/>
        </w:rPr>
        <w:t>Required:</w:t>
      </w:r>
      <w:r>
        <w:rPr>
          <w:rFonts w:ascii="Times New Roman"/>
          <w:b w:val="false"/>
          <w:i w:val="false"/>
          <w:color w:val="000000"/>
          <w:sz w:val="24"/>
        </w:rPr>
        <w:t>Prepare a schedule to show the equity income Tinker should recognize for 2021 related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Equity Method―Basic Journal Entries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Farah Corp. purchased 35% of the common stock of Dastan Co. by paying $625,000. Of this amount, $45,000 is associated with goodwill.</w:t>
      </w:r>
      <w:r>
        <w:rPr>
          <w:rFonts w:ascii="Times New Roman"/>
          <w:b/>
          <w:i w:val="false"/>
          <w:color w:val="000000"/>
          <w:sz w:val="24"/>
        </w:rPr>
        <w:t xml:space="preserve">Required: </w:t>
      </w:r>
      <w:r>
        <w:rPr>
          <w:rFonts w:ascii="Times New Roman"/>
          <w:b w:val="false"/>
          <w:i w:val="false"/>
          <w:color w:val="000000"/>
          <w:sz w:val="24"/>
        </w:rPr>
        <w:t>Prepare the journal entry to record Farah’s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Equity Method―Allocate Cost of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On January 3, 2021, Heinreich Co. paid $500,000 for 25% of the voting common stock of Jones Corp. At the time of the investment, Jones had net assets with a book value and fair value of $1,800,000. During 2021, Jones incurred a net loss of $60,000 and paid dividends of $100,000. Any excess cost over book value is attributable to goodwill with an indefinite life.</w:t>
      </w:r>
      <w:r>
        <w:rPr>
          <w:rFonts w:ascii="Times New Roman"/>
          <w:b/>
          <w:i w:val="false"/>
          <w:color w:val="000000"/>
          <w:sz w:val="24"/>
        </w:rPr>
        <w:t>Required:</w:t>
      </w:r>
      <w:r>
        <w:rPr>
          <w:rFonts w:ascii="Times New Roman"/>
          <w:b w:val="false"/>
          <w:i w:val="false"/>
          <w:color w:val="000000"/>
          <w:sz w:val="24"/>
        </w:rPr>
        <w:t>1) Prepare a schedule to show the amount of goodwill from Heinrich’s investment in Jones.</w:t>
      </w:r>
      <w:r>
        <w:rPr>
          <w:rFonts w:ascii="Times New Roman"/>
          <w:b w:val="false"/>
          <w:i w:val="false"/>
          <w:color w:val="000000"/>
          <w:sz w:val="24"/>
        </w:rPr>
        <w:t>2) Prepare a schedule to show the balance in Heinreich’s investment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Method―Allocate Cost of Investment</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 January 4, 2021, Colton Corp. acquired 30% of the outstanding common stock of Hicks Co. for $1,300,000. This acquisition gave Colton the ability to exercise significant influence over the investee. The book value of the acquired shares was $1,175,000. Any excess cost over the underlying book value was assigned to a copyright that was undervalued on Hicks’s balance sheet. This copyright has a remaining useful life of ten years. For the year ended December 31, 2021, Hicks reported net income of $368,000 and paid cash dividends of $107,000.</w:t>
      </w:r>
      <w:r>
        <w:rPr>
          <w:rFonts w:ascii="Times New Roman"/>
          <w:b/>
          <w:i w:val="false"/>
          <w:color w:val="000000"/>
          <w:sz w:val="24"/>
        </w:rPr>
        <w:t>Required:</w:t>
      </w:r>
      <w:r>
        <w:rPr>
          <w:rFonts w:ascii="Times New Roman"/>
          <w:b w:val="false"/>
          <w:i w:val="false"/>
          <w:color w:val="000000"/>
          <w:sz w:val="24"/>
        </w:rPr>
        <w:t>Prepare a schedule to show the balance Colton should report as its Investment in Hicks Co.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Method―Amortize Allocations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On January 1, 2021, Spark Corp. acquired a 40% interest in Cranston Inc. for $250,000. On that date, Cranston’s balance sheet disclosed net assets of $430,000. During 2021, Cranston reported net income of $100,000 and paid cash dividends of $30,000. Spark sold inventory costing $40,000 to Cranston during 2021 for $50,000. Cranston used all of this merchandise in its operations during 2021. Any excess cost over fair value is attributable to an unamortized trademark with a 20-year remaining life.</w:t>
      </w:r>
      <w:r>
        <w:rPr>
          <w:rFonts w:ascii="Times New Roman"/>
          <w:b/>
          <w:i w:val="false"/>
          <w:color w:val="000000"/>
          <w:sz w:val="24"/>
        </w:rPr>
        <w:t>Required:</w:t>
      </w:r>
      <w:r>
        <w:rPr>
          <w:rFonts w:ascii="Times New Roman"/>
          <w:b w:val="false"/>
          <w:i w:val="false"/>
          <w:color w:val="000000"/>
          <w:sz w:val="24"/>
        </w:rPr>
        <w:t>Prepare all of Spark’s journal entries for 2021 to apply the equity method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Wathan Inc. sold $180,000 in inventory to Miller Co. during 2020, for $270,000. Miller resold $108,000 of this merchandise in 2020 with the remainder to be disposed of during 2021.</w:t>
      </w:r>
      <w:r>
        <w:rPr>
          <w:rFonts w:ascii="Times New Roman"/>
          <w:b/>
          <w:i w:val="false"/>
          <w:color w:val="000000"/>
          <w:sz w:val="24"/>
        </w:rPr>
        <w:t>Required:</w:t>
      </w:r>
      <w:r>
        <w:rPr>
          <w:rFonts w:ascii="Times New Roman"/>
          <w:b w:val="false"/>
          <w:i w:val="false"/>
          <w:color w:val="000000"/>
          <w:sz w:val="24"/>
        </w:rPr>
        <w:t>Assuming Wathan owns 25% of Miller and applies the equity method, prepare the journal entry Wathan should have recorded at the end of 2020 to defer gross profit on intra-entity inventory sales.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Jager Inc. holds 30% of the outstanding voting shares of Kinson Co. and appropriately applies the equity method of accounting. Amortization associated with this investment equals $11,000 per year. For 2021, Kinson reported earnings of $100,000 and paid cash dividends of $40,000. During 2021, Kinson acquired inventory for $62,400, which was then sold to Jager for $96,000. At the end of 2021, Jager still held some of this inventory at its intra-entity selling price of $50,000.</w:t>
      </w:r>
      <w:r>
        <w:rPr>
          <w:rFonts w:ascii="Times New Roman"/>
          <w:b/>
          <w:i w:val="false"/>
          <w:color w:val="000000"/>
          <w:sz w:val="24"/>
        </w:rPr>
        <w:t>Required:</w:t>
      </w:r>
      <w:r>
        <w:rPr>
          <w:rFonts w:ascii="Times New Roman"/>
          <w:b w:val="false"/>
          <w:i w:val="false"/>
          <w:color w:val="000000"/>
          <w:sz w:val="24"/>
        </w:rPr>
        <w:t>Determine the amount of Equity in Investee Income that Jager should have reported for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On January 4, 2020, Hull Corp. paid $516,000 for 24% (48,000 shares) of the outstanding common stock of Oliver Co. Hull used the equity method to account for the investment. At the end of 2020, the balance in the investment account was $620,000. On January 3, 2021, Hull sold 12,000 shares of Oliver stock for $12 per share. For 2021, Oliver reported net income of $118,000 and paid dividends of $30,000.</w:t>
      </w:r>
      <w:r>
        <w:rPr>
          <w:rFonts w:ascii="Times New Roman"/>
          <w:b/>
          <w:i w:val="false"/>
          <w:color w:val="000000"/>
          <w:sz w:val="24"/>
        </w:rPr>
        <w:t>Required:</w:t>
      </w:r>
      <w:r>
        <w:rPr>
          <w:rFonts w:ascii="Times New Roman"/>
          <w:b w:val="false"/>
          <w:i w:val="false"/>
          <w:color w:val="000000"/>
          <w:sz w:val="24"/>
        </w:rPr>
        <w:t>(A) Prepare the journal entry to record the sale of the 12,000 shares.</w:t>
      </w:r>
      <w:r>
        <w:rPr>
          <w:rFonts w:ascii="Times New Roman"/>
          <w:b w:val="false"/>
          <w:i w:val="false"/>
          <w:color w:val="000000"/>
          <w:sz w:val="24"/>
        </w:rPr>
        <w:t>(B) After the sale has been recorded, what is the balance in the investment account?</w:t>
      </w:r>
      <w:r>
        <w:rPr>
          <w:rFonts w:ascii="Times New Roman"/>
          <w:b w:val="false"/>
          <w:i w:val="false"/>
          <w:color w:val="000000"/>
          <w:sz w:val="24"/>
        </w:rPr>
        <w:t>(C) What percentage of Oliver Co. stock does Hull own after selling the 12,000 shares?</w:t>
      </w:r>
      <w:r>
        <w:rPr>
          <w:rFonts w:ascii="Times New Roman"/>
          <w:b w:val="false"/>
          <w:i w:val="false"/>
          <w:color w:val="000000"/>
          <w:sz w:val="24"/>
        </w:rPr>
        <w:t>(D) Because of the sale of stock, Hull can no longer exercise significant influence over the operations of Oliver. What effect will this have on Hull’s accounting for the investment?</w:t>
      </w:r>
      <w:r>
        <w:rPr>
          <w:rFonts w:ascii="Times New Roman"/>
          <w:b w:val="false"/>
          <w:i w:val="false"/>
          <w:color w:val="000000"/>
          <w:sz w:val="24"/>
        </w:rPr>
        <w:t>(E) Prepare Hull’s journal entries related to the investment for the rest of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Learning Objective : 01-06d Understand the financial reporting consequences for sales of equity metho</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Report Sale of Equity Investment</w:t>
        <w:br/>
      </w:r>
      <w:r>
        <w:rPr>
          <w:rFonts w:ascii="Times New Roman"/>
          <w:sz w:val="20"/>
        </w:rPr>
        <w:t>Topic : Accounting for Investments―Various Methods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On January 2, 2021, Jolley Corp. paid $250,000 for 25% of the voting common stock of Wonder Co. On that date, the book value of Wonder was $850,000. A building with a carrying value of $160,000 was actually worth $220,000. The building had a remaining life of twenty years. Wonder owned a trademark valued at $90,000 over cost that was to be amortized over 20 years.</w:t>
      </w:r>
      <w:r>
        <w:rPr>
          <w:rFonts w:ascii="Times New Roman"/>
          <w:b w:val="false"/>
          <w:i w:val="false"/>
          <w:color w:val="000000"/>
          <w:sz w:val="24"/>
        </w:rPr>
        <w:t>During 2021, Wonder sold to Jolley inventory costing $60,000, at a markup of 50% on cost. At the end of the year, Jolley still owned some of these goods with an intra-entity selling price of $33,000. Jolly uses a perpetual inventory system.</w:t>
      </w:r>
      <w:r>
        <w:rPr>
          <w:rFonts w:ascii="Times New Roman"/>
          <w:b w:val="false"/>
          <w:i w:val="false"/>
          <w:color w:val="000000"/>
          <w:sz w:val="24"/>
        </w:rPr>
        <w:t>Wonder reported net income of $200,000 during 2021. This amount included a gain of $35,000. Wonder paid dividends totaling $40,000.</w:t>
      </w:r>
      <w:r>
        <w:rPr>
          <w:rFonts w:ascii="Times New Roman"/>
          <w:b/>
          <w:i w:val="false"/>
          <w:color w:val="000000"/>
          <w:sz w:val="24"/>
        </w:rPr>
        <w:t>Required:</w:t>
      </w:r>
      <w:r>
        <w:rPr>
          <w:rFonts w:ascii="Times New Roman"/>
          <w:b w:val="false"/>
          <w:i w:val="false"/>
          <w:color w:val="000000"/>
          <w:sz w:val="24"/>
        </w:rPr>
        <w:t>Prepare all of Jolley’s journal entries for 2021 in relation to Wonder Co. Assume the equity method is appropriate for 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On January 2, 2020, Pond Co. acquired 40% of the outstanding voting common shares of Ramp Co. for $700,000. On that date, Ramp reported assets and liabilities with book values of $2.2 million and $700,000, respectively. A building owned by Ramp had an appraised value of $300,000, although it had a book value of only $120,000. This building had a 12-year remaining life and no salvage value. It was being depreciated on the straight-line basis.</w:t>
      </w:r>
      <w:r>
        <w:rPr>
          <w:rFonts w:ascii="Times New Roman"/>
          <w:b w:val="false"/>
          <w:i w:val="false"/>
          <w:color w:val="000000"/>
          <w:sz w:val="24"/>
        </w:rPr>
        <w:t>Ramp generated net income of $300,000 in 2020 and a loss of $120,000 in 2021. In each of these two years, Ramp paid a cash dividend of $70,000 to its stockholders.</w:t>
      </w:r>
      <w:r>
        <w:rPr>
          <w:rFonts w:ascii="Times New Roman"/>
          <w:b w:val="false"/>
          <w:i w:val="false"/>
          <w:color w:val="000000"/>
          <w:sz w:val="24"/>
        </w:rPr>
        <w:t>During 2020, Ramp sold inventory to Pond that had an original cost of $60,000. The merchandise was sold to Pond for $96,000. Of this balance, $72,000 was resold to outsiders during 2020 and the remainder was sold during 2021. In 2021, Ramp sold inventory to Pond for $180,000. This inventory had cost only $108,000. Pond resold $120,000 of the inventory during 2021 and the rest during 2022.</w:t>
      </w:r>
      <w:r>
        <w:rPr>
          <w:rFonts w:ascii="Times New Roman"/>
          <w:b/>
          <w:i w:val="false"/>
          <w:color w:val="000000"/>
          <w:sz w:val="24"/>
        </w:rPr>
        <w:t>Required:</w:t>
      </w:r>
      <w:r>
        <w:rPr>
          <w:rFonts w:ascii="Times New Roman"/>
          <w:b w:val="false"/>
          <w:i/>
          <w:color w:val="000000"/>
          <w:sz w:val="24"/>
        </w:rPr>
        <w:t xml:space="preserve"> </w:t>
      </w:r>
      <w:r>
        <w:rPr>
          <w:rFonts w:ascii="Times New Roman"/>
          <w:b w:val="false"/>
          <w:i w:val="false"/>
          <w:color w:val="000000"/>
          <w:sz w:val="24"/>
        </w:rPr>
        <w:t>For 2020 and then for 2021, calculate the equity income to be reported by Pond for external reporting purposes.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r>
        <w:rPr>
          <w:rFonts w:ascii="Times New Roman"/>
          <w:sz w:val="20"/>
        </w:rPr>
        <w:t>Topic : Equity Method―Allocate Cost of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Pursley, Inc. acquires 10% of Ritz Corporation on January 2, 2020, for $80,000 when the book value of Ritz was $800,000. Pursley adjusted the investment to its fair value of $162,500 at December 31, 2020. During 2020 Ritz reported net income of $125,000 and paid dividends of $30,000. On January 7, 2021, Pursley purchased an additional 20% of Ritz for $325,000, giving Pursley the ability to significantly influence the operating policies of Ritz. Any excess of cost over book value is attributable to goodwill with an indefinite life. What journal entry(ies) is(are) required on January 7,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01-06a Understand the financial reporting consequences for a change to the equit</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Topic : Report Change to Equity Method</w:t>
        <w:br/>
      </w:r>
      <w:r>
        <w:rPr>
          <w:rFonts w:ascii="Times New Roman"/>
          <w:sz w:val="20"/>
        </w:rPr>
        <w:t>AACSB : Communication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2020 intra-entity sales should Steven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2021 intra-entity sales should Steven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equity income would Steven have recognized in 2021 from its ownership interest in Nicholas?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Equity Method―Basic Journal Entries</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 xml:space="preserve">What was the balance in the </w:t>
      </w:r>
      <w:r>
        <w:rPr>
          <w:rFonts w:ascii="Times New Roman"/>
          <w:b w:val="false"/>
          <w:i/>
          <w:color w:val="000000"/>
          <w:sz w:val="24"/>
        </w:rPr>
        <w:t>Investment in Nicholas Corp</w:t>
      </w:r>
      <w:r>
        <w:rPr>
          <w:rFonts w:ascii="Times New Roman"/>
          <w:b w:val="false"/>
          <w:i w:val="false"/>
          <w:color w:val="000000"/>
          <w:sz w:val="24"/>
        </w:rPr>
        <w: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Accessibility : Screen Reader Compatible</w:t>
        <w:br/>
      </w:r>
      <w:r>
        <w:rPr>
          <w:rFonts w:ascii="Times New Roman"/>
          <w:sz w:val="20"/>
        </w:rPr>
        <w:t>Topic : Intra–Entity Sales of Inventory</w:t>
        <w:br/>
      </w:r>
      <w:r>
        <w:rPr>
          <w:rFonts w:ascii="Times New Roman"/>
          <w:sz w:val="20"/>
        </w:rPr>
        <w:t>Topic : Equity Method―Amortize Allocations</w:t>
        <w:br/>
      </w:r>
      <w:r>
        <w:rPr>
          <w:rFonts w:ascii="Times New Roman"/>
          <w:sz w:val="20"/>
        </w:rPr>
        <w:t>Topic : Equity Method―Investment Account Balance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2020 intra-entity sales should Nelson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2021 intra-entity sales should Nelson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Accessibility : Screen Reader Compatible</w:t>
        <w:br/>
      </w:r>
      <w:r>
        <w:rPr>
          <w:rFonts w:ascii="Times New Roman"/>
          <w:sz w:val="20"/>
        </w:rPr>
        <w:t>Topic : Intra–Entity Sales of Inventory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2020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2021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Gradable : manual</w:t>
        <w:br/>
      </w:r>
      <w:r>
        <w:rPr>
          <w:rFonts w:ascii="Times New Roman"/>
          <w:sz w:val="20"/>
        </w:rPr>
        <w:t>Difficulty : 3 Hard</w:t>
        <w:br/>
      </w:r>
      <w:r>
        <w:rPr>
          <w:rFonts w:ascii="Times New Roman"/>
          <w:sz w:val="20"/>
        </w:rPr>
        <w:t>AACSB : Knowledge Application</w:t>
        <w:br/>
      </w:r>
      <w:r>
        <w:rPr>
          <w:rFonts w:ascii="Times New Roman"/>
          <w:sz w:val="20"/>
        </w:rPr>
        <w:t>Learning Objective : 01-05 Allocate the cost of an equity method investment and compute amortization</w:t>
        <w:br/>
      </w:r>
      <w:r>
        <w:rPr>
          <w:rFonts w:ascii="Times New Roman"/>
          <w:sz w:val="20"/>
        </w:rPr>
        <w:t>Topic : Equity Method―Basic Journal Entries</w:t>
        <w:br/>
      </w:r>
      <w:r>
        <w:rPr>
          <w:rFonts w:ascii="Times New Roman"/>
          <w:sz w:val="20"/>
        </w:rPr>
        <w:t>Topic : Intra–Entity Sales of Inventory</w:t>
        <w:br/>
      </w:r>
      <w:r>
        <w:rPr>
          <w:rFonts w:ascii="Times New Roman"/>
          <w:sz w:val="20"/>
        </w:rPr>
        <w:t>Topic : Equity Method―Amortize Allocations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How does the equity method of accounting for investments under International Accounting Standard (IAS) 28 differ from those prescribed by the FASB ASC?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AICPA : BB Critical Thinking</w:t>
        <w:br/>
      </w:r>
      <w:r>
        <w:rPr>
          <w:rFonts w:ascii="Times New Roman"/>
          <w:sz w:val="20"/>
        </w:rPr>
        <w:t>AICPA : FN Measurement</w:t>
        <w:br/>
      </w:r>
      <w:r>
        <w:rPr>
          <w:rFonts w:ascii="Times New Roman"/>
          <w:sz w:val="20"/>
        </w:rPr>
        <w:t>Learning Objective : 01-02 Describe in general the various methods of accounting for an investment in</w:t>
        <w:br/>
      </w:r>
      <w:r>
        <w:rPr>
          <w:rFonts w:ascii="Times New Roman"/>
          <w:sz w:val="20"/>
        </w:rPr>
        <w:t>AACSB : Reflective Thinking</w:t>
        <w:br/>
      </w:r>
      <w:r>
        <w:rPr>
          <w:rFonts w:ascii="Times New Roman"/>
          <w:sz w:val="20"/>
        </w:rPr>
        <w:t>Gradable : manual</w:t>
        <w:br/>
      </w:r>
      <w:r>
        <w:rPr>
          <w:rFonts w:ascii="Times New Roman"/>
          <w:sz w:val="20"/>
        </w:rPr>
        <w:t>Difficulty : 3 Hard</w:t>
        <w:br/>
      </w:r>
      <w:r>
        <w:rPr>
          <w:rFonts w:ascii="Times New Roman"/>
          <w:sz w:val="20"/>
        </w:rPr>
        <w:t>AACSB : Communication</w:t>
        <w:br/>
      </w:r>
      <w:r>
        <w:rPr>
          <w:rFonts w:ascii="Times New Roman"/>
          <w:sz w:val="20"/>
        </w:rPr>
        <w:t>Accessibility : Screen Reader Compatible</w:t>
        <w:br/>
      </w:r>
      <w:r>
        <w:rPr>
          <w:rFonts w:ascii="Times New Roman"/>
          <w:sz w:val="20"/>
        </w:rPr>
        <w:t>Topic : Accounting for Investments―IFRS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 -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(1) A; (2) D; (3) B; (4) D; (5) D; (6) D; (7) D; (8) D; (9) B; (10) C; (11) A; (12) B</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The fair-value method should be used. Generally, ownership of more than twenty percent (20%) of the voting common stock would be presumed to carry significant influence and would require use of the equity method. The equity method is not appropriate in this case because of the lack of the ability to exercise significant influence.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 xml:space="preserve">Idler should discontinue the use of the </w:t>
      </w:r>
      <w:r>
        <w:rPr>
          <w:rFonts w:ascii="Times New Roman" w:hAnsi="Times New Roman"/>
          <w:b w:val="false"/>
          <w:i/>
          <w:color w:val="000000"/>
          <w:sz w:val="32"/>
        </w:rPr>
        <w:t>equity method</w:t>
      </w:r>
      <w:r>
        <w:rPr>
          <w:rFonts w:ascii="Times New Roman" w:hAnsi="Times New Roman"/>
          <w:b w:val="false"/>
          <w:i w:val="false"/>
          <w:color w:val="000000"/>
          <w:sz w:val="32"/>
        </w:rPr>
        <w:t xml:space="preserve">. The investment would have a </w:t>
      </w:r>
      <w:r>
        <w:rPr>
          <w:rFonts w:ascii="Times New Roman" w:hAnsi="Times New Roman"/>
          <w:b w:val="false"/>
          <w:i/>
          <w:color w:val="000000"/>
          <w:sz w:val="32"/>
        </w:rPr>
        <w:t>zero balance</w:t>
      </w:r>
      <w:r>
        <w:rPr>
          <w:rFonts w:ascii="Times New Roman" w:hAnsi="Times New Roman"/>
          <w:b w:val="false"/>
          <w:i w:val="false"/>
          <w:color w:val="000000"/>
          <w:sz w:val="32"/>
        </w:rPr>
        <w:t xml:space="preserve"> until investee profits eliminate unrecognized losses.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When an investor has the ability to exercise significant influence over the operations of an investee, the investor should use the equity method to account for the investment. GAAP suggests several events or conditions which would indicate such influence: (1) investor representation on the investee’s board of directors; (2) material transactions between investor and investee; (3) interchange of managerial personnel; (4) technological dependency between investor and investee; (5) the extent of investor ownership and the concentration of other ownership interests in the investee; and (6) investor participation in the policy-making process of the investee. All of these conditions should be examined to determine whether the investor has the ability to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 </w:t>
      </w:r>
      <w:r>
        <w:rPr>
          <w:rFonts w:ascii="Times New Roman" w:hAnsi="Times New Roman"/>
          <w:b w:val="false"/>
          <w:i w:val="false"/>
          <w:color w:val="000000"/>
          <w:sz w:val="32"/>
        </w:rPr>
        <w:t>In order to verify that the equity method is appropriate, the auditor should determine whether the investor is able to exercise significant influence over the operations of the investee. The ability to influence the investee’s operations is the most important criterion for adopting the equity method. The auditor should look for such evidence of significant influence such as: (1) frequent or material intercompany transactions; (2) exchange of managerial personnel; (3) technological interdependency; and (4) investor participation in the decision-making process of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 </w:t>
      </w:r>
      <w:r>
        <w:rPr>
          <w:rFonts w:ascii="Times New Roman" w:hAnsi="Times New Roman"/>
          <w:b w:val="false"/>
          <w:i w:val="false"/>
          <w:color w:val="000000"/>
          <w:sz w:val="32"/>
        </w:rPr>
        <w:t xml:space="preserve">The use of the equity method influences the investor’s income statement and balance sheet. On the income statement, the investor’s net income will be increased by its share of the investee’s earnings reduced by any amortization of cost in excess of fair value of depreciable net assets. On the balance sheet, the investor’s total assets will include the investment account. The balance of the investment account is increased by the investor’s share of the investee’s income and decreased by investee losses and dividends paid and amortization of depreciable allocations. The investor’s retained earnings are influenced by the investee’s income or loss reported on the investor’s income statement. </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 </w:t>
      </w:r>
      <w:r>
        <w:rPr>
          <w:rFonts w:ascii="Times New Roman" w:hAnsi="Times New Roman"/>
          <w:b w:val="false"/>
          <w:i w:val="false"/>
          <w:color w:val="000000"/>
          <w:sz w:val="32"/>
        </w:rPr>
        <w:t>The objective of the equity method is to reflect the special relationship between investor and investee. The equity method is used when the investor holds a relatively large share of the investee, but not a controlling interest. The large ownership percentage indicates that the investor has the ability to influence the decision-making processes of the investee. Use of the fair-value method would not reflect the relationship between the two parties.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According to the equity method, the investor should recognize its share of the investee’s income in the same period in which it is earned by the investee. The equity method applies accrual accounting when the investor could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 </w:t>
      </w:r>
      <w:r>
        <w:rPr>
          <w:rFonts w:ascii="Times New Roman" w:hAnsi="Times New Roman"/>
          <w:b w:val="false"/>
          <w:i w:val="false"/>
          <w:color w:val="000000"/>
          <w:sz w:val="32"/>
        </w:rPr>
        <w:t>An argument could be made against the recognition of income under the equity method. The investor is required to recognize its share of the investee’s income even when it is unlikely that the investor will ever receive the entire amount in cash dividends.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 </w:t>
      </w:r>
      <w:r>
        <w:rPr>
          <w:rFonts w:ascii="Times New Roman" w:hAnsi="Times New Roman"/>
          <w:b w:val="false"/>
          <w:i w:val="false"/>
          <w:color w:val="000000"/>
          <w:sz w:val="32"/>
        </w:rPr>
        <w:t>A change to the fair value method is appropriate when the investor can no longer exercise significant influence over the operations of the investee. No retrospective adjustment of previous years’ financial statements or the balance in the investment account is required. The balance in the investment account at the time of the change would be treated prospectively as the cost of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 </w:t>
      </w:r>
      <w:r>
        <w:rPr>
          <w:rFonts w:ascii="Times New Roman" w:hAnsi="Times New Roman"/>
          <w:b w:val="false"/>
          <w:i w:val="false"/>
          <w:color w:val="000000"/>
          <w:sz w:val="32"/>
        </w:rPr>
        <w:t>The investor should account for other comprehensive income or loss by including it in an Other Comprehensive Income statement account that is separate from the Equity in Investee Income account. The investor should record its share of investee OCI, which should be included in its balance sheet as Accumulated Other Comprehensive Income (AOCI).</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 </w:t>
      </w:r>
      <w:r>
        <w:rPr>
          <w:rFonts w:ascii="Times New Roman" w:hAnsi="Times New Roman"/>
          <w:b w:val="false"/>
          <w:i w:val="false"/>
          <w:color w:val="000000"/>
          <w:sz w:val="32"/>
        </w:rPr>
        <w:t>When the investor does not have significant influence with regard to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 </w:t>
      </w:r>
      <w:r>
        <w:rPr>
          <w:rFonts w:ascii="Times New Roman" w:hAnsi="Times New Roman"/>
          <w:b w:val="false"/>
          <w:i w:val="false"/>
          <w:color w:val="000000"/>
          <w:sz w:val="32"/>
        </w:rPr>
        <w:t>The investor possesses only a small percentage of an investee and cannot expect to have a significant impact on the operations or decision-making of the investee. Since the shares are bought in anticipation of cash dividends or appreciation of stock market values, dividends received are accounted for as income and the investment is reflected at each balance sheet date at its fair value which is generally the market value at that date.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According to GAAP, when there is a change from the fair value method to the equity method for investments, the change should be incorporated prospectively.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 </w:t>
      </w:r>
      <w:r>
        <w:rPr>
          <w:rFonts w:ascii="Times New Roman" w:hAnsi="Times New Roman"/>
          <w:b w:val="false"/>
          <w:i w:val="false"/>
          <w:color w:val="000000"/>
          <w:sz w:val="32"/>
        </w:rPr>
        <w:t>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w:t>
        <w:br/>
      </w:r>
    </w:p>
    <w:tbl>
      <w:tblPr>
        <w:tblLayout w:type="autofit"/>
      </w:tblPr>
      <w:tr>
        <w:trPr/>
        <w:tc>
          <w:tcPr>
            <w:tcW w:w="842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Academic Services Inc.:</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January 1, 2021</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726,000</w:t>
            </w: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equity income accrual ($150,000 × 40%)</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tcMar>
              <w:top w:w="15" w:type="dxa"/>
              <w:left w:w="15" w:type="dxa"/>
              <w:bottom w:w="15" w:type="dxa"/>
              <w:right w:w="15" w:type="dxa"/>
            </w:tcMar>
            <w:vAlign w:val="top"/>
          </w:tcPr>
          <w:p/>
        </w:tc>
      </w:tr>
      <w:tr>
        <w:trPr>
          <w:trHeight w:val="15"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dividends ($40,000 × 40%)</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770,000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w:t>
        <w:br/>
      </w:r>
    </w:p>
    <w:tbl>
      <w:tblPr>
        <w:tblLayout w:type="autofit"/>
      </w:tblPr>
      <w:tr>
        <w:trPr/>
        <w:tc>
          <w:tcPr>
            <w:tcW w:w="9431" w:type="dxa"/>
            <w:tcBorders/>
            <w:tcMar>
              <w:top w:w="15" w:type="dxa"/>
              <w:left w:w="15" w:type="dxa"/>
              <w:bottom w:w="15" w:type="dxa"/>
              <w:right w:w="15" w:type="dxa"/>
            </w:tcMar>
            <w:vAlign w:val="top"/>
          </w:tcPr>
          <w:p/>
        </w:tc>
        <w:tc>
          <w:tcPr>
            <w:tcW w:w="391" w:type="dxa"/>
            <w:tcBorders/>
            <w:tcMar>
              <w:top w:w="15" w:type="dxa"/>
              <w:left w:w="15" w:type="dxa"/>
              <w:bottom w:w="15" w:type="dxa"/>
              <w:right w:w="15" w:type="dxa"/>
            </w:tcMar>
            <w:vAlign w:val="top"/>
          </w:tcPr>
          <w:p/>
        </w:tc>
        <w:tc>
          <w:tcPr>
            <w:tcW w:w="101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 accrual ($120,000 × 25%)</w:t>
            </w:r>
          </w:p>
        </w:tc>
        <w:tc>
          <w:tcPr>
            <w:tcW w:w="3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rHeight w:val="15"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amortization on purchase ($80,000 ÷ 20 × 25%)</w:t>
            </w:r>
          </w:p>
        </w:tc>
        <w:tc>
          <w:tcPr>
            <w:tcW w:w="391" w:type="dxa"/>
            <w:tcBorders>
              <w:bottom w:val="single" w:color="000000" w:sz="8"/>
            </w:tcBorders>
            <w:tcMar>
              <w:top w:w="15" w:type="dxa"/>
              <w:left w:w="15" w:type="dxa"/>
              <w:bottom w:w="15" w:type="dxa"/>
              <w:right w:w="15" w:type="dxa"/>
            </w:tcMar>
            <w:vAlign w:val="top"/>
          </w:tcPr>
          <w:p/>
        </w:tc>
        <w:tc>
          <w:tcPr>
            <w:tcW w:w="101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w:t>
            </w:r>
          </w:p>
        </w:tc>
        <w:tc>
          <w:tcPr>
            <w:tcW w:w="391"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29,000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The journal entry is:</w:t>
      </w:r>
      <w:r>
        <w:rPr>
          <w:rFonts w:ascii="Times New Roman"/>
          <w:sz w:val="32"/>
        </w:rPr>
        <w:br/>
      </w:r>
    </w:p>
    <w:tbl>
      <w:tblPr>
        <w:tblLayout w:type="autofit"/>
      </w:tblPr>
      <w:tr>
        <w:trPr/>
        <w:tc>
          <w:tcPr>
            <w:tcW w:w="5303" w:type="dxa"/>
            <w:tcBorders/>
            <w:tcMar>
              <w:top w:w="15" w:type="dxa"/>
              <w:left w:w="15" w:type="dxa"/>
              <w:bottom w:w="15" w:type="dxa"/>
              <w:right w:w="15" w:type="dxa"/>
            </w:tcMar>
            <w:vAlign w:val="top"/>
          </w:tcP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53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Dastan Co</w:t>
            </w:r>
          </w:p>
        </w:tc>
        <w:tc>
          <w:tcPr>
            <w:tcW w:w="14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c>
          <w:tcPr>
            <w:tcW w:w="1632" w:type="dxa"/>
            <w:tcBorders/>
            <w:tcMar>
              <w:top w:w="15" w:type="dxa"/>
              <w:left w:w="15" w:type="dxa"/>
              <w:bottom w:w="15" w:type="dxa"/>
              <w:right w:w="15" w:type="dxa"/>
            </w:tcMar>
            <w:vAlign w:val="top"/>
          </w:tcPr>
          <w:p/>
        </w:tc>
      </w:tr>
      <w:tr>
        <w:trPr/>
        <w:tc>
          <w:tcPr>
            <w:tcW w:w="53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amount of goodwill does not affect the journal entry used to record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 1)</w:t>
      </w:r>
      <w:r>
        <w:rPr>
          <w:rFonts w:ascii="Times New Roman"/>
          <w:sz w:val="32"/>
        </w:rPr>
        <w:br/>
      </w:r>
    </w:p>
    <w:tbl>
      <w:tblPr>
        <w:tblLayout w:type="autofit"/>
      </w:tblPr>
      <w:tr>
        <w:trPr/>
        <w:tc>
          <w:tcPr>
            <w:tcW w:w="6390" w:type="dxa"/>
            <w:tcBorders/>
            <w:tcMar>
              <w:top w:w="15" w:type="dxa"/>
              <w:left w:w="15" w:type="dxa"/>
              <w:bottom w:w="15" w:type="dxa"/>
              <w:right w:w="15" w:type="dxa"/>
            </w:tcMar>
            <w:vAlign w:val="top"/>
          </w:tcPr>
          <w:p/>
        </w:tc>
        <w:tc>
          <w:tcPr>
            <w:tcW w:w="38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w:t>
            </w:r>
          </w:p>
        </w:tc>
        <w:tc>
          <w:tcPr>
            <w:tcW w:w="3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rHeight w:val="15"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book value ($1,800,000 × 25%)</w:t>
            </w:r>
          </w:p>
        </w:tc>
        <w:tc>
          <w:tcPr>
            <w:tcW w:w="384"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(450,000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Goodwill</w:t>
            </w:r>
          </w:p>
        </w:tc>
        <w:tc>
          <w:tcPr>
            <w:tcW w:w="38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w:t>
      </w:r>
      <w:r>
        <w:rPr>
          <w:rFonts w:ascii="Times New Roman"/>
          <w:sz w:val="32"/>
        </w:rPr>
        <w:br/>
      </w:r>
    </w:p>
    <w:tbl>
      <w:tblPr>
        <w:tblLayout w:type="autofit"/>
      </w:tblP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Jones Corp.:</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loss accrual ($60,000 × 25%)</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w:t>
            </w:r>
          </w:p>
        </w:tc>
        <w:tc>
          <w:tcPr>
            <w:tcW w:w="1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dividends ($100,000 × 25%)</w:t>
            </w:r>
          </w:p>
        </w:tc>
        <w:tc>
          <w:tcPr>
            <w:tcW w:w="389" w:type="dxa"/>
            <w:tcBorders>
              <w:bottom w:val="single" w:color="000000" w:sz="8"/>
            </w:tcBorders>
            <w:tcMar>
              <w:top w:w="15" w:type="dxa"/>
              <w:left w:w="15" w:type="dxa"/>
              <w:bottom w:w="15" w:type="dxa"/>
              <w:right w:w="15" w:type="dxa"/>
            </w:tcMar>
            <w:vAlign w:val="top"/>
          </w:tcPr>
          <w:p/>
        </w:tc>
        <w:tc>
          <w:tcPr>
            <w:tcW w:w="115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460,000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w:t>
        <w:br/>
      </w:r>
    </w:p>
    <w:tbl>
      <w:tblPr>
        <w:tblLayout w:type="autofit"/>
      </w:tblP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Hicks Co.:</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1,300,000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w:t>
            </w:r>
            <w:r>
              <w:rPr>
                <w:rFonts w:ascii="Courier New" w:hAnsi="Courier New"/>
                <w:b w:val="false"/>
                <w:i w:val="false"/>
                <w:color w:val="000000"/>
                <w:sz w:val="22"/>
              </w:rPr>
              <w:t>quity income ($368,000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110,400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Dividends ($107,000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(32,100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copyright amortization (($1,300,000 − $1,175,000) ÷ 10)</w:t>
            </w:r>
          </w:p>
        </w:tc>
        <w:tc>
          <w:tcPr>
            <w:tcW w:w="393" w:type="dxa"/>
            <w:tcBorders>
              <w:bottom w:val="single" w:color="000000" w:sz="8"/>
            </w:tcBorders>
            <w:tcMar>
              <w:top w:w="15" w:type="dxa"/>
              <w:left w:w="15" w:type="dxa"/>
              <w:bottom w:w="15" w:type="dxa"/>
              <w:right w:w="15" w:type="dxa"/>
            </w:tcMar>
            <w:vAlign w:val="top"/>
          </w:tcPr>
          <w:p/>
        </w:tc>
        <w:tc>
          <w:tcPr>
            <w:tcW w:w="14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(12,500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1,365,800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w:t>
        <w:br/>
      </w:r>
    </w:p>
    <w:tbl>
      <w:tblPr>
        <w:tblLayout w:type="autofit"/>
      </w:tblPr>
      <w:tr>
        <w:trPr/>
        <w:tc>
          <w:tcPr>
            <w:tcW w:w="11548" w:type="dxa"/>
            <w:tcBorders/>
            <w:tcMar>
              <w:top w:w="15" w:type="dxa"/>
              <w:left w:w="15" w:type="dxa"/>
              <w:bottom w:w="15" w:type="dxa"/>
              <w:right w:w="15" w:type="dxa"/>
            </w:tcMar>
            <w:vAlign w:val="top"/>
          </w:tcP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 of Cranston Inc. stock</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Equivalent book value of Cranston Inc. stock ($430,000 × 40%)</w:t>
            </w:r>
          </w:p>
        </w:tc>
        <w:tc>
          <w:tcPr>
            <w:tcW w:w="393" w:type="dxa"/>
            <w:tcBorders>
              <w:bottom w:val="single" w:color="000000" w:sz="8"/>
            </w:tcBorders>
            <w:tcMar>
              <w:top w:w="15" w:type="dxa"/>
              <w:left w:w="15" w:type="dxa"/>
              <w:bottom w:w="15" w:type="dxa"/>
              <w:right w:w="15" w:type="dxa"/>
            </w:tcMar>
            <w:vAlign w:val="top"/>
          </w:tcP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(172,000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Trademark</w:t>
            </w: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78,000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Life in years</w:t>
            </w:r>
          </w:p>
        </w:tc>
        <w:tc>
          <w:tcPr>
            <w:tcW w:w="393"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w:t>
            </w:r>
          </w:p>
        </w:tc>
        <w:tc>
          <w:tcPr>
            <w:tcW w:w="199" w:type="dxa"/>
            <w:tcBorders>
              <w:bottom w:val="single" w:color="000000" w:sz="8"/>
            </w:tcBorders>
            <w:tcMar>
              <w:top w:w="15" w:type="dxa"/>
              <w:left w:w="15" w:type="dxa"/>
              <w:bottom w:w="15" w:type="dxa"/>
              <w:right w:w="15" w:type="dxa"/>
            </w:tcMar>
            <w:vAlign w:val="top"/>
          </w:tcPr>
          <w:p/>
        </w:tc>
      </w:tr>
      <w:tr>
        <w:trPr>
          <w:trHeight w:val="120"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3,900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81" w:type="dxa"/>
            <w:tcBorders/>
            <w:tcMar>
              <w:top w:w="15" w:type="dxa"/>
              <w:left w:w="15" w:type="dxa"/>
              <w:bottom w:w="15" w:type="dxa"/>
              <w:right w:w="15" w:type="dxa"/>
            </w:tcMar>
            <w:vAlign w:val="top"/>
          </w:tcP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acquisition of a 40% interest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forty percent of income earned during the period by Cranston Inc., an investment recorded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dividend from investee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reflect amortization of trademark excess over book value acquired.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**Note: All merchandise was used, so no deferral entry is needed.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w:t>
        <w:br/>
      </w:r>
    </w:p>
    <w:tbl>
      <w:tblPr>
        <w:tblLayout w:type="autofit"/>
      </w:tblPr>
      <w:tr>
        <w:trPr/>
        <w:tc>
          <w:tcPr>
            <w:tcW w:w="8613"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15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Ending inventory ($270,000 − $108,000)</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162,000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markup ($90,000 ÷ $270,000)</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9" w:type="dxa"/>
            <w:tcBorders>
              <w:bottom w:val="single" w:color="000000" w:sz="8"/>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54,000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61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Wathan’s share intra-entity inventory gross profit to defer to subsequent year</w:t>
            </w:r>
          </w:p>
        </w:tc>
        <w:tc>
          <w:tcPr>
            <w:tcW w:w="39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13,500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7912" w:type="dxa"/>
            <w:tcBorders/>
            <w:tcMar>
              <w:top w:w="15" w:type="dxa"/>
              <w:left w:w="15" w:type="dxa"/>
              <w:bottom w:w="15" w:type="dxa"/>
              <w:right w:w="15" w:type="dxa"/>
            </w:tcMar>
            <w:vAlign w:val="top"/>
          </w:tcP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Income—Investment in Miller Co.</w:t>
            </w:r>
          </w:p>
        </w:tc>
        <w:tc>
          <w:tcPr>
            <w:tcW w:w="14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c>
          <w:tcPr>
            <w:tcW w:w="1632" w:type="dxa"/>
            <w:tcBorders/>
            <w:tcMar>
              <w:top w:w="15" w:type="dxa"/>
              <w:left w:w="15" w:type="dxa"/>
              <w:bottom w:w="15" w:type="dxa"/>
              <w:right w:w="15" w:type="dxa"/>
            </w:tcMar>
            <w:vAlign w:val="top"/>
          </w:tcP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Miller Co.</w:t>
            </w: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w:t>
        <w:br/>
      </w:r>
    </w:p>
    <w:tbl>
      <w:tblPr>
        <w:tblLayout w:type="autofit"/>
      </w:tblPr>
      <w:tr>
        <w:trPr/>
        <w:tc>
          <w:tcPr>
            <w:tcW w:w="10012"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 accrual ($100,000 × 30%)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Deferral of share of intra-entity gross profit (below)</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(given)</w:t>
            </w:r>
          </w:p>
        </w:tc>
        <w:tc>
          <w:tcPr>
            <w:tcW w:w="392" w:type="dxa"/>
            <w:tcBorders>
              <w:bottom w:val="single" w:color="000000" w:sz="8"/>
            </w:tcBorders>
            <w:tcMar>
              <w:top w:w="15" w:type="dxa"/>
              <w:left w:w="15" w:type="dxa"/>
              <w:bottom w:w="15" w:type="dxa"/>
              <w:right w:w="15" w:type="dxa"/>
            </w:tcMar>
            <w:vAlign w:val="top"/>
          </w:tcPr>
          <w:p/>
        </w:tc>
        <w:tc>
          <w:tcPr>
            <w:tcW w:w="119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13,750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61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Deferral of its share of intra-entity gross profit:</w:t>
            </w:r>
          </w:p>
        </w:tc>
        <w:tc>
          <w:tcPr>
            <w:tcW w:w="392" w:type="dxa"/>
            <w:tcBorders/>
            <w:tcMar>
              <w:top w:w="15" w:type="dxa"/>
              <w:left w:w="15" w:type="dxa"/>
              <w:bottom w:w="15" w:type="dxa"/>
              <w:right w:w="15" w:type="dxa"/>
            </w:tcMar>
            <w:vAlign w:val="top"/>
          </w:tcPr>
          <w:p/>
        </w:tc>
        <w:tc>
          <w:tcPr>
            <w:tcW w:w="1152"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inventory — end of year</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($33,600 ÷ $96,000)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35</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Profit within remaining inventory</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17,500</w:t>
            </w:r>
          </w:p>
        </w:tc>
        <w:tc>
          <w:tcPr>
            <w:tcW w:w="199" w:type="dxa"/>
            <w:tcBorders/>
            <w:tcMar>
              <w:top w:w="15" w:type="dxa"/>
              <w:left w:w="15" w:type="dxa"/>
              <w:bottom w:w="15" w:type="dxa"/>
              <w:right w:w="15" w:type="dxa"/>
            </w:tcMar>
            <w:vAlign w:val="top"/>
          </w:tcPr>
          <w:p/>
        </w:tc>
      </w:tr>
      <w:tr>
        <w:trPr>
          <w:trHeight w:val="15"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Share of intra-entity gross profit</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A)</w:t>
      </w:r>
      <w:r>
        <w:rPr>
          <w:rFonts w:ascii="Times New Roman"/>
          <w:sz w:val="32"/>
        </w:rPr>
        <w:br/>
      </w:r>
    </w:p>
    <w:tbl>
      <w:tblPr>
        <w:tblLayout w:type="autofit"/>
      </w:tblPr>
      <w:tr>
        <w:trPr/>
        <w:tc>
          <w:tcPr>
            <w:tcW w:w="7088" w:type="dxa"/>
            <w:tcBorders/>
            <w:tcMar>
              <w:top w:w="15" w:type="dxa"/>
              <w:left w:w="225" w:type="dxa"/>
              <w:bottom w:w="15" w:type="dxa"/>
              <w:right w:w="15" w:type="dxa"/>
            </w:tcMar>
            <w:vAlign w:val="top"/>
          </w:tcPr>
          <w:p/>
        </w:tc>
        <w:tc>
          <w:tcPr>
            <w:tcW w:w="1656" w:type="dxa"/>
            <w:tcBorders/>
            <w:tcMar>
              <w:top w:w="15" w:type="dxa"/>
              <w:left w:w="15" w:type="dxa"/>
              <w:bottom w:w="15" w:type="dxa"/>
              <w:right w:w="15" w:type="dxa"/>
            </w:tcMar>
            <w:vAlign w:val="top"/>
          </w:tcP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144,000</w:t>
            </w: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c>
          <w:tcPr>
            <w:tcW w:w="1656" w:type="dxa"/>
            <w:tcBorders/>
            <w:tcMar>
              <w:top w:w="15" w:type="dxa"/>
              <w:left w:w="15" w:type="dxa"/>
              <w:bottom w:w="15" w:type="dxa"/>
              <w:right w:w="150" w:type="dxa"/>
            </w:tcMar>
            <w:vAlign w:val="top"/>
          </w:tcPr>
          <w:p/>
        </w:tc>
      </w:tr>
      <w:tr>
        <w:trPr/>
        <w:tc>
          <w:tcPr>
            <w:tcW w:w="708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Oliver Co.</w:t>
            </w:r>
          </w:p>
        </w:tc>
        <w:tc>
          <w:tcPr>
            <w:tcW w:w="1656" w:type="dxa"/>
            <w:tcBorders/>
            <w:tcMar>
              <w:top w:w="15" w:type="dxa"/>
              <w:left w:w="15" w:type="dxa"/>
              <w:bottom w:w="15" w:type="dxa"/>
              <w:right w:w="150" w:type="dxa"/>
            </w:tcMar>
            <w:vAlign w:val="top"/>
          </w:tcP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07" w:type="dxa"/>
            <w:tcBorders/>
            <w:tcMar>
              <w:top w:w="15" w:type="dxa"/>
              <w:left w:w="225" w:type="dxa"/>
              <w:bottom w:w="15" w:type="dxa"/>
              <w:right w:w="15" w:type="dxa"/>
            </w:tcMar>
            <w:vAlign w:val="top"/>
          </w:tcPr>
          <w:p/>
        </w:tc>
        <w:tc>
          <w:tcPr>
            <w:tcW w:w="1393" w:type="dxa"/>
            <w:tcBorders/>
            <w:tcMar>
              <w:top w:w="15" w:type="dxa"/>
              <w:left w:w="15" w:type="dxa"/>
              <w:bottom w:w="15" w:type="dxa"/>
              <w:right w:w="15" w:type="dxa"/>
            </w:tcMar>
            <w:vAlign w:val="top"/>
          </w:tcPr>
          <w:p/>
        </w:tc>
      </w:tr>
      <w:tr>
        <w:trPr/>
        <w:tc>
          <w:tcPr>
            <w:tcW w:w="920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loss:</w:t>
            </w:r>
          </w:p>
        </w:tc>
        <w:tc>
          <w:tcPr>
            <w:tcW w:w="1393" w:type="dxa"/>
            <w:tcBorders/>
            <w:tcMar>
              <w:top w:w="15" w:type="dxa"/>
              <w:left w:w="15" w:type="dxa"/>
              <w:bottom w:w="15" w:type="dxa"/>
              <w:right w:w="150" w:type="dxa"/>
            </w:tcMar>
            <w:vAlign w:val="top"/>
          </w:tcPr>
          <w:p/>
        </w:tc>
      </w:tr>
      <w:tr>
        <w:trPr/>
        <w:tc>
          <w:tcPr>
            <w:tcW w:w="920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(12,000 × $12) − [($620,000 ÷ 48,000) × 12,000]</w:t>
            </w:r>
          </w:p>
        </w:tc>
        <w:tc>
          <w:tcPr>
            <w:tcW w:w="13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rPr>
          <w:rFonts w:ascii="Times New Roman"/>
          <w:sz w:val="32"/>
        </w:rPr>
        <w:br/>
      </w:r>
    </w:p>
    <w:tbl>
      <w:tblPr>
        <w:tblLayout w:type="autofit"/>
      </w:tblPr>
      <w:tr>
        <w:trPr/>
        <w:tc>
          <w:tcPr>
            <w:tcW w:w="4552" w:type="dxa"/>
            <w:tcBorders/>
            <w:tcMar>
              <w:top w:w="15" w:type="dxa"/>
              <w:left w:w="225" w:type="dxa"/>
              <w:bottom w:w="15" w:type="dxa"/>
              <w:right w:w="15" w:type="dxa"/>
            </w:tcMar>
            <w:vAlign w:val="top"/>
          </w:tcPr>
          <w:p/>
        </w:tc>
        <w:tc>
          <w:tcPr>
            <w:tcW w:w="1448" w:type="dxa"/>
            <w:tcBorders/>
            <w:tcMar>
              <w:top w:w="15" w:type="dxa"/>
              <w:left w:w="15" w:type="dxa"/>
              <w:bottom w:w="15" w:type="dxa"/>
              <w:right w:w="15" w:type="dxa"/>
            </w:tcMar>
            <w:vAlign w:val="top"/>
          </w:tcPr>
          <w:p/>
        </w:tc>
      </w:tr>
      <w:tr>
        <w:trPr/>
        <w:tc>
          <w:tcPr>
            <w:tcW w:w="455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in investment:</w:t>
            </w:r>
          </w:p>
        </w:tc>
        <w:tc>
          <w:tcPr>
            <w:tcW w:w="1448" w:type="dxa"/>
            <w:tcBorders/>
            <w:tcMar>
              <w:top w:w="15" w:type="dxa"/>
              <w:left w:w="15" w:type="dxa"/>
              <w:bottom w:w="15" w:type="dxa"/>
              <w:right w:w="150" w:type="dxa"/>
            </w:tcMar>
            <w:vAlign w:val="top"/>
          </w:tcPr>
          <w:p/>
        </w:tc>
      </w:tr>
      <w:tr>
        <w:trPr/>
        <w:tc>
          <w:tcPr>
            <w:tcW w:w="455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$620,000 − $155,000</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$465,000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rPr>
          <w:rFonts w:ascii="Times New Roman" w:hAnsi="Times New Roman"/>
          <w:b w:val="false"/>
          <w:i w:val="false"/>
          <w:color w:val="000000"/>
          <w:sz w:val="32"/>
        </w:rPr>
        <w:t>-Before sale, Hull owns 48,000 shares = 24% Oliver (given).</w:t>
      </w:r>
      <w:r>
        <w:rPr>
          <w:rFonts w:ascii="Times New Roman" w:hAnsi="Times New Roman"/>
          <w:b w:val="false"/>
          <w:i w:val="false"/>
          <w:color w:val="000000"/>
          <w:sz w:val="32"/>
        </w:rPr>
        <w:t>-Oliver has 200,000 shares outstanding (48,000/.24).</w:t>
      </w:r>
      <w:r>
        <w:rPr>
          <w:rFonts w:ascii="Times New Roman" w:hAnsi="Times New Roman"/>
          <w:b w:val="false"/>
          <w:i w:val="false"/>
          <w:color w:val="000000"/>
          <w:sz w:val="32"/>
        </w:rPr>
        <w:t>-After sale, Hull owns 36,000 shares (48,000 − 12,000).</w:t>
      </w:r>
      <w:r>
        <w:rPr>
          <w:rFonts w:ascii="Times New Roman" w:hAnsi="Times New Roman"/>
          <w:b w:val="false"/>
          <w:i w:val="false"/>
          <w:color w:val="000000"/>
          <w:sz w:val="32"/>
        </w:rPr>
        <w:t>-After sale, Hull owns 18% of Oliver (36,000/200,000).</w:t>
      </w:r>
      <w:r>
        <w:rPr>
          <w:rFonts w:ascii="Times New Roman"/>
          <w:sz w:val="32"/>
        </w:rPr>
        <w:br/>
      </w:r>
    </w:p>
    <w:tbl>
      <w:tblPr>
        <w:tblLayout w:type="autofit"/>
      </w:tblPr>
      <w:tr>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Alternate calculation:</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tc>
        <w:tc>
          <w:tcPr>
            <w:tcW w:w="555" w:type="dxa"/>
            <w:tcBorders/>
            <w:tcMar>
              <w:top w:w="15" w:type="dxa"/>
              <w:left w:w="15" w:type="dxa"/>
              <w:bottom w:w="15" w:type="dxa"/>
              <w:right w:w="15" w:type="dxa"/>
            </w:tcMar>
            <w:vAlign w:val="top"/>
          </w:tcPr>
          <w:p/>
        </w:tc>
      </w:tr>
      <w:tr>
        <w:trPr/>
        <w:tc>
          <w:tcPr>
            <w:tcW w:w="64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48,000 shares =</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w:t>
            </w:r>
          </w:p>
        </w:tc>
        <w:tc>
          <w:tcPr>
            <w:tcW w:w="5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 1/4 of investment</w:t>
            </w:r>
          </w:p>
        </w:tc>
        <w:tc>
          <w:tcPr>
            <w:tcW w:w="180" w:type="dxa"/>
            <w:tcBorders>
              <w:bottom w:val="single" w:color="000000" w:sz="8"/>
            </w:tcBorders>
            <w:tcMar>
              <w:top w:w="15" w:type="dxa"/>
              <w:left w:w="15" w:type="dxa"/>
              <w:bottom w:w="15" w:type="dxa"/>
              <w:right w:w="15" w:type="dxa"/>
            </w:tcMar>
            <w:vAlign w:val="top"/>
          </w:tcPr>
          <w:p/>
        </w:tc>
        <w:tc>
          <w:tcPr>
            <w:tcW w:w="766"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55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ownership of Oliver</w:t>
            </w:r>
          </w:p>
        </w:tc>
        <w:tc>
          <w:tcPr>
            <w:tcW w:w="180" w:type="dxa"/>
            <w:tcBorders>
              <w:bottom w:val="double" w:color="000000" w:sz="5"/>
            </w:tcBorders>
            <w:tcMar>
              <w:top w:w="45" w:type="dxa"/>
              <w:left w:w="15" w:type="dxa"/>
              <w:bottom w:w="45" w:type="dxa"/>
              <w:right w:w="15" w:type="dxa"/>
            </w:tcMar>
            <w:vAlign w:val="top"/>
          </w:tcPr>
          <w:p/>
        </w:tc>
        <w:tc>
          <w:tcPr>
            <w:tcW w:w="76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w:t>
            </w:r>
          </w:p>
        </w:tc>
        <w:tc>
          <w:tcPr>
            <w:tcW w:w="555"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rPr>
          <w:rFonts w:ascii="Times New Roman" w:hAnsi="Times New Roman"/>
          <w:b w:val="false"/>
          <w:i w:val="false"/>
          <w:color w:val="000000"/>
          <w:sz w:val="32"/>
        </w:rPr>
        <w:t xml:space="preserve">To account for the investments, the </w:t>
      </w:r>
      <w:r>
        <w:rPr>
          <w:rFonts w:ascii="Times New Roman" w:hAnsi="Times New Roman"/>
          <w:b w:val="false"/>
          <w:i/>
          <w:color w:val="000000"/>
          <w:sz w:val="32"/>
        </w:rPr>
        <w:t>fair-value method</w:t>
      </w:r>
      <w:r>
        <w:rPr>
          <w:rFonts w:ascii="Times New Roman" w:hAnsi="Times New Roman"/>
          <w:b w:val="false"/>
          <w:i w:val="false"/>
          <w:color w:val="000000"/>
          <w:sz w:val="32"/>
        </w:rPr>
        <w:t xml:space="preserve"> should be used.</w:t>
      </w:r>
      <w:r>
        <w:rPr>
          <w:rFonts w:ascii="Times New Roman" w:hAnsi="Times New Roman"/>
          <w:b w:val="false"/>
          <w:i w:val="false"/>
          <w:color w:val="000000"/>
          <w:sz w:val="32"/>
        </w:rPr>
        <w:t>E)</w:t>
      </w:r>
      <w:r>
        <w:rPr>
          <w:rFonts w:ascii="Times New Roman"/>
          <w:sz w:val="32"/>
        </w:rPr>
        <w:br/>
      </w:r>
    </w:p>
    <w:tbl>
      <w:tblPr>
        <w:tblLayout w:type="autofit"/>
      </w:tblPr>
      <w:tr>
        <w:trPr/>
        <w:tc>
          <w:tcPr>
            <w:tcW w:w="3942" w:type="dxa"/>
            <w:tcBorders/>
            <w:tcMar>
              <w:top w:w="15" w:type="dxa"/>
              <w:left w:w="225" w:type="dxa"/>
              <w:bottom w:w="15" w:type="dxa"/>
              <w:right w:w="15" w:type="dxa"/>
            </w:tcMar>
            <w:vAlign w:val="top"/>
          </w:tcPr>
          <w:p/>
        </w:tc>
        <w:tc>
          <w:tcPr>
            <w:tcW w:w="1529" w:type="dxa"/>
            <w:tcBorders/>
            <w:tcMar>
              <w:top w:w="15" w:type="dxa"/>
              <w:left w:w="15" w:type="dxa"/>
              <w:bottom w:w="15" w:type="dxa"/>
              <w:right w:w="15" w:type="dxa"/>
            </w:tcMar>
            <w:vAlign w:val="top"/>
          </w:tcPr>
          <w:p/>
        </w:tc>
        <w:tc>
          <w:tcPr>
            <w:tcW w:w="1529" w:type="dxa"/>
            <w:tcBorders/>
            <w:tcMar>
              <w:top w:w="15" w:type="dxa"/>
              <w:left w:w="15" w:type="dxa"/>
              <w:bottom w:w="15" w:type="dxa"/>
              <w:right w:w="15" w:type="dxa"/>
            </w:tcMar>
            <w:vAlign w:val="top"/>
          </w:tcPr>
          <w:p/>
        </w:tc>
      </w:tr>
      <w:tr>
        <w:trPr/>
        <w:tc>
          <w:tcPr>
            <w:tcW w:w="394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c>
          <w:tcPr>
            <w:tcW w:w="1529" w:type="dxa"/>
            <w:tcBorders/>
            <w:tcMar>
              <w:top w:w="15" w:type="dxa"/>
              <w:left w:w="15" w:type="dxa"/>
              <w:bottom w:w="15" w:type="dxa"/>
              <w:right w:w="15" w:type="dxa"/>
            </w:tcMar>
            <w:vAlign w:val="top"/>
          </w:tcPr>
          <w:p/>
        </w:tc>
      </w:tr>
      <w:tr>
        <w:trPr/>
        <w:tc>
          <w:tcPr>
            <w:tcW w:w="394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Dividend Revenue</w:t>
            </w:r>
          </w:p>
        </w:tc>
        <w:tc>
          <w:tcPr>
            <w:tcW w:w="1529" w:type="dxa"/>
            <w:tcBorders/>
            <w:tcMar>
              <w:top w:w="15" w:type="dxa"/>
              <w:left w:w="15" w:type="dxa"/>
              <w:bottom w:w="15" w:type="dxa"/>
              <w:right w:w="150" w:type="dxa"/>
            </w:tcMar>
            <w:vAlign w:val="top"/>
          </w:tcP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23" w:type="dxa"/>
            <w:tcBorders/>
            <w:tcMar>
              <w:top w:w="15" w:type="dxa"/>
              <w:left w:w="225" w:type="dxa"/>
              <w:bottom w:w="15" w:type="dxa"/>
              <w:right w:w="15" w:type="dxa"/>
            </w:tcMar>
            <w:vAlign w:val="top"/>
          </w:tcPr>
          <w:p/>
        </w:tc>
        <w:tc>
          <w:tcPr>
            <w:tcW w:w="1377" w:type="dxa"/>
            <w:tcBorders/>
            <w:tcMar>
              <w:top w:w="15" w:type="dxa"/>
              <w:left w:w="15" w:type="dxa"/>
              <w:bottom w:w="15" w:type="dxa"/>
              <w:right w:w="15" w:type="dxa"/>
            </w:tcMar>
            <w:vAlign w:val="top"/>
          </w:tcP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dividend revenue:</w:t>
            </w:r>
          </w:p>
        </w:tc>
        <w:tc>
          <w:tcPr>
            <w:tcW w:w="1377" w:type="dxa"/>
            <w:tcBorders/>
            <w:tcMar>
              <w:top w:w="15" w:type="dxa"/>
              <w:left w:w="15" w:type="dxa"/>
              <w:bottom w:w="15" w:type="dxa"/>
              <w:right w:w="150"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$30,000 × 18% (from part C above)</w:t>
            </w:r>
          </w:p>
        </w:tc>
        <w:tc>
          <w:tcPr>
            <w:tcW w:w="1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w:t>
        <w:br/>
      </w:r>
    </w:p>
    <w:tbl>
      <w:tblPr>
        <w:tblLayout w:type="autofit"/>
      </w:tblP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Required journal entries: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initial 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Cost of Intra-Entity Inventory</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purchase of inventory from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41,250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of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share of Wonder Co.’s income.</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receipt of dividend.</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amortizations.</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defer its share of gross profit on intra-entity sales.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48" w:type="dxa"/>
            <w:tcBorders/>
            <w:tcMar>
              <w:top w:w="15" w:type="dxa"/>
              <w:left w:w="15" w:type="dxa"/>
              <w:bottom w:w="15" w:type="dxa"/>
              <w:right w:w="15" w:type="dxa"/>
            </w:tcMar>
            <w:vAlign w:val="top"/>
          </w:tcP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equity in Wonder Co. income:</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($200,000 − $35,000)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41,250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unusual gain of Wonder Co.:</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8,750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amortizations:</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[($220,000 − $160,000) ÷ 20] x 25%)</w:t>
            </w:r>
          </w:p>
        </w:tc>
        <w:tc>
          <w:tcPr>
            <w:tcW w:w="38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750</w:t>
            </w:r>
          </w:p>
        </w:tc>
        <w:tc>
          <w:tcPr>
            <w:tcW w:w="186" w:type="dxa"/>
            <w:tcBorders/>
            <w:tcMar>
              <w:top w:w="15" w:type="dxa"/>
              <w:left w:w="15" w:type="dxa"/>
              <w:bottom w:w="15" w:type="dxa"/>
              <w:right w:w="15" w:type="dxa"/>
            </w:tcMar>
            <w:vAlign w:val="top"/>
          </w:tcPr>
          <w:p/>
        </w:tc>
      </w:tr>
      <w:tr>
        <w:trPr>
          <w:trHeight w:val="15"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Trademark [($90,000 × 25%) ÷ 20]</w:t>
            </w:r>
          </w:p>
        </w:tc>
        <w:tc>
          <w:tcPr>
            <w:tcW w:w="382" w:type="dxa"/>
            <w:tcBorders>
              <w:bottom w:val="single" w:color="000000" w:sz="8"/>
            </w:tcBorders>
            <w:tcMar>
              <w:top w:w="15" w:type="dxa"/>
              <w:left w:w="15" w:type="dxa"/>
              <w:bottom w:w="15" w:type="dxa"/>
              <w:right w:w="15" w:type="dxa"/>
            </w:tcMar>
            <w:vAlign w:val="top"/>
          </w:tcPr>
          <w:p/>
        </w:tc>
        <w:tc>
          <w:tcPr>
            <w:tcW w:w="114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1,125</w:t>
            </w:r>
          </w:p>
        </w:tc>
        <w:tc>
          <w:tcPr>
            <w:tcW w:w="186" w:type="dxa"/>
            <w:tcBorders>
              <w:bottom w:val="single" w:color="000000" w:sz="8"/>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Total</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1,875</w:t>
            </w:r>
          </w:p>
        </w:tc>
        <w:tc>
          <w:tcPr>
            <w:tcW w:w="186"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Calculation of deferred gross profit on intra-entity inventory sales:</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 + 50% cost = $60,000 + $30,000</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w:t>
            </w:r>
          </w:p>
        </w:tc>
        <w:tc>
          <w:tcPr>
            <w:tcW w:w="197" w:type="dxa"/>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Gross profit</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30,000</w:t>
            </w:r>
          </w:p>
        </w:tc>
        <w:tc>
          <w:tcPr>
            <w:tcW w:w="197" w:type="dxa"/>
            <w:tcBorders>
              <w:bottom w:val="double" w:color="000000" w:sz="5"/>
            </w:tcBorders>
            <w:tcMar>
              <w:top w:w="45" w:type="dxa"/>
              <w:left w:w="15" w:type="dxa"/>
              <w:bottom w:w="4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GP % = 30,000/90,000 =</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Remaining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33,000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 Intra-entity gross profit remaining in ending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Jolley’s ownership %</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Deferred gross profit on intra-entity inventory sales</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2,750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w:t>
        <w:br/>
      </w:r>
    </w:p>
    <w:tbl>
      <w:tblPr>
        <w:tblLayout w:type="autofit"/>
      </w:tblPr>
      <w:tr>
        <w:trPr/>
        <w:tc>
          <w:tcPr>
            <w:tcW w:w="1020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Income-2020:</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($300,000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w:t>
            </w: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(Schedule 2)</w:t>
            </w:r>
          </w:p>
        </w:tc>
        <w:tc>
          <w:tcPr>
            <w:tcW w:w="200" w:type="dxa"/>
            <w:tcBorders>
              <w:bottom w:val="single" w:color="000000" w:sz="8"/>
            </w:tcBorders>
            <w:tcMar>
              <w:top w:w="15" w:type="dxa"/>
              <w:left w:w="15" w:type="dxa"/>
              <w:bottom w:w="15" w:type="dxa"/>
              <w:right w:w="15" w:type="dxa"/>
            </w:tcMar>
            <w:vAlign w:val="top"/>
          </w:tcPr>
          <w:p/>
        </w:tc>
        <w:tc>
          <w:tcPr>
            <w:tcW w:w="1199"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2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 2020</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110,400</w:t>
            </w:r>
          </w:p>
        </w:tc>
        <w:tc>
          <w:tcPr>
            <w:tcW w:w="3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420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[$120,000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Recognition of 2020 deferred intra-entity gross profit (Schedule 2)</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9" w:type="dxa"/>
            <w:tcBorders/>
            <w:tcMar>
              <w:top w:w="15" w:type="dxa"/>
              <w:left w:w="15" w:type="dxa"/>
              <w:bottom w:w="15" w:type="dxa"/>
              <w:right w:w="15" w:type="dxa"/>
            </w:tcMar>
            <w:vAlign w:val="top"/>
          </w:tcPr>
          <w:p/>
        </w:tc>
      </w:tr>
      <w:tr>
        <w:trPr>
          <w:trHeight w:val="15"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Deferral of 2021 gross profit on intra- entity inventory sales (Schedule 3)</w:t>
            </w:r>
          </w:p>
        </w:tc>
        <w:tc>
          <w:tcPr>
            <w:tcW w:w="200" w:type="dxa"/>
            <w:tcBorders>
              <w:bottom w:val="single" w:color="000000" w:sz="8"/>
            </w:tcBorders>
            <w:tcMar>
              <w:top w:w="15" w:type="dxa"/>
              <w:left w:w="15" w:type="dxa"/>
              <w:bottom w:w="15" w:type="dxa"/>
              <w:right w:w="15" w:type="dxa"/>
            </w:tcMar>
            <w:vAlign w:val="top"/>
          </w:tcPr>
          <w:p/>
        </w:tc>
        <w:tc>
          <w:tcPr>
            <w:tcW w:w="120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(9,600</w:t>
            </w:r>
          </w:p>
        </w:tc>
        <w:tc>
          <w:tcPr>
            <w:tcW w:w="3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(60,000</w:t>
            </w:r>
          </w:p>
        </w:tc>
        <w:tc>
          <w:tcPr>
            <w:tcW w:w="399"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042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1</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Life</w:t>
            </w:r>
          </w:p>
        </w:tc>
        <w:tc>
          <w:tcPr>
            <w:tcW w:w="178" w:type="dxa"/>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Annual Amortization</w:t>
            </w: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Book value equivalence($1,500,000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Payment in excess of book value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xml:space="preserve">100,000 </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identified with specific assets</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($180,000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72,000</w:t>
            </w:r>
          </w:p>
        </w:tc>
        <w:tc>
          <w:tcPr>
            <w:tcW w:w="195" w:type="dxa"/>
            <w:tcBorders>
              <w:bottom w:val="single" w:color="000000" w:sz="8"/>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12 yrs.</w:t>
            </w: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not identified with specific accounts</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single" w:color="000000" w:sz="8"/>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tc>
      </w:tr>
      <w:tr>
        <w:trPr>
          <w:trHeight w:val="120"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double" w:color="000000" w:sz="5"/>
            </w:tcBorders>
            <w:tcMar>
              <w:top w:w="45" w:type="dxa"/>
              <w:left w:w="15" w:type="dxa"/>
              <w:bottom w:w="45" w:type="dxa"/>
              <w:right w:w="15" w:type="dxa"/>
            </w:tcMar>
            <w:vAlign w:val="top"/>
          </w:tcPr>
          <w:p/>
        </w:tc>
        <w:tc>
          <w:tcPr>
            <w:tcW w:w="1872"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c>
          <w:tcPr>
            <w:tcW w:w="0" w:type="auto"/>
            <w:gridSpan w:val="8"/>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2</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2020 ($96,000 − $72,000)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($36,000 ÷ $96,000)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37.5</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gross profit on intra-entity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12/31/20 (to be deferred until recognized in 2021)</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3</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2021 ($180,000 − $120,000)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($72,000 ÷ $180,000)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- 12/31/21</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be deferred until recognized in 2022)</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9,600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w:t>
        <w:br/>
      </w:r>
    </w:p>
    <w:tbl>
      <w:tblPr>
        <w:tblLayout w:type="autofit"/>
      </w:tblPr>
      <w:tr>
        <w:trPr/>
        <w:tc>
          <w:tcPr>
            <w:tcW w:w="7669" w:type="dxa"/>
            <w:tcBorders/>
            <w:tcMar>
              <w:top w:w="15" w:type="dxa"/>
              <w:left w:w="225" w:type="dxa"/>
              <w:bottom w:w="15" w:type="dxa"/>
              <w:right w:w="15" w:type="dxa"/>
            </w:tcMar>
            <w:vAlign w:val="top"/>
          </w:tcP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r>
      <w:tr>
        <w:trPr/>
        <w:tc>
          <w:tcPr>
            <w:tcW w:w="766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Ritz</w:t>
            </w:r>
          </w:p>
        </w:tc>
        <w:tc>
          <w:tcPr>
            <w:tcW w:w="14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c>
          <w:tcPr>
            <w:tcW w:w="1654" w:type="dxa"/>
            <w:tcBorders/>
            <w:tcMar>
              <w:top w:w="15" w:type="dxa"/>
              <w:left w:w="15" w:type="dxa"/>
              <w:bottom w:w="15" w:type="dxa"/>
              <w:right w:w="15" w:type="dxa"/>
            </w:tcMar>
            <w:vAlign w:val="top"/>
          </w:tcP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To record the purchase of an additional </w:t>
            </w:r>
            <w:r>
              <w:br/>
            </w:r>
            <w:r>
              <w:rPr>
                <w:rFonts w:ascii="Courier New" w:hAnsi="Courier New"/>
                <w:b w:val="false"/>
                <w:i w:val="false"/>
                <w:color w:val="000000"/>
                <w:sz w:val="22"/>
              </w:rPr>
              <w:t>20% share in Ritz Corporation</w:t>
            </w:r>
          </w:p>
        </w:tc>
        <w:tc>
          <w:tcPr>
            <w:tcW w:w="1477" w:type="dxa"/>
            <w:tcBorders/>
            <w:tcMar>
              <w:top w:w="15" w:type="dxa"/>
              <w:left w:w="15" w:type="dxa"/>
              <w:bottom w:w="15" w:type="dxa"/>
              <w:right w:w="150" w:type="dxa"/>
            </w:tcMar>
            <w:vAlign w:val="top"/>
          </w:tcPr>
          <w:p/>
        </w:tc>
        <w:tc>
          <w:tcPr>
            <w:tcW w:w="1654"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Additionally, if the fair value of the original 10% shares differed on January 7, 2021, than it did on December 31, 2020, Pursley would record the adjustment to the investment account so that the proper allocation of excess payment to goodwill could be prepared when the ownership percentage required use of the equity method of accounting on January 7, 2021.</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[($50,000 − $35,000) × 0.25 × 0.40] = $1,500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[($75,000 − $54,000) × 0.10 × 0.40] = $840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[($120,000 × 0.4) − $12,000 − $840 + $1,500] = $36,660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[$503,000 + $36,660 − ($40,000 × 0.4)] = $523,660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[($80,000 − $60,000) × 0.25 × 0.35] = $1,750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[($100,000 − $70,000) × 0.20 × 0.35] = $2,100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w:t>
        <w:br/>
      </w:r>
    </w:p>
    <w:tbl>
      <w:tblPr>
        <w:tblLayout w:type="autofit"/>
      </w:tblPr>
      <w:tr>
        <w:trPr/>
        <w:tc>
          <w:tcPr>
            <w:tcW w:w="8522" w:type="dxa"/>
            <w:tcBorders/>
            <w:tcMar>
              <w:top w:w="15" w:type="dxa"/>
              <w:left w:w="225" w:type="dxa"/>
              <w:bottom w:w="15" w:type="dxa"/>
              <w:right w:w="15" w:type="dxa"/>
            </w:tcMar>
            <w:vAlign w:val="top"/>
          </w:tcP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4" w:type="dxa"/>
            <w:tcBorders/>
            <w:tcMar>
              <w:top w:w="15" w:type="dxa"/>
              <w:left w:w="15" w:type="dxa"/>
              <w:bottom w:w="15" w:type="dxa"/>
              <w:right w:w="15" w:type="dxa"/>
            </w:tcMar>
            <w:vAlign w:val="top"/>
          </w:tcP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w:t>
            </w:r>
            <w:r>
              <w:br/>
            </w:r>
            <w:r>
              <w:rPr>
                <w:rFonts w:ascii="Courier New" w:hAnsi="Courier New"/>
                <w:b w:val="false"/>
                <w:i w:val="false"/>
                <w:color w:val="000000"/>
                <w:sz w:val="22"/>
              </w:rPr>
              <w:t xml:space="preserve">    [($2,000,000 − $600,000) × 35%]</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4"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4" w:type="dxa"/>
            <w:tcBorders>
              <w:bottom w:val="double" w:color="000000" w:sz="5"/>
            </w:tcBorders>
            <w:tcMar>
              <w:top w:w="45" w:type="dxa"/>
              <w:left w:w="15" w:type="dxa"/>
              <w:bottom w:w="4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4"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422" w:type="dxa"/>
            <w:tcBorders/>
            <w:tcMar>
              <w:top w:w="15" w:type="dxa"/>
              <w:left w:w="225" w:type="dxa"/>
              <w:bottom w:w="15" w:type="dxa"/>
              <w:right w:w="15" w:type="dxa"/>
            </w:tcMar>
            <w:vAlign w:val="top"/>
          </w:tcP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the purchase of 35% interest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($250,000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($55,000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($80,000 − $60,000) × 25% × 35% = $1,750</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w:t>
        <w:br/>
      </w:r>
    </w:p>
    <w:tbl>
      <w:tblPr>
        <w:tblLayout w:type="autofit"/>
      </w:tblPr>
      <w:tr>
        <w:trPr/>
        <w:tc>
          <w:tcPr>
            <w:tcW w:w="12118" w:type="dxa"/>
            <w:tcBorders/>
            <w:tcMar>
              <w:top w:w="15" w:type="dxa"/>
              <w:left w:w="225" w:type="dxa"/>
              <w:bottom w:w="15" w:type="dxa"/>
              <w:right w:w="15" w:type="dxa"/>
            </w:tcMar>
            <w:vAlign w:val="top"/>
          </w:tcP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 [($2,000,000 − $600,000) × 35%]</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6"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6" w:type="dxa"/>
            <w:tcBorders>
              <w:bottom w:val="double" w:color="000000" w:sz="5"/>
            </w:tcBorders>
            <w:tcMar>
              <w:top w:w="45" w:type="dxa"/>
              <w:left w:w="15" w:type="dxa"/>
              <w:bottom w:w="4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6"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249" w:type="dxa"/>
            <w:tcBorders/>
            <w:tcMar>
              <w:top w:w="15" w:type="dxa"/>
              <w:left w:w="225" w:type="dxa"/>
              <w:bottom w:w="15" w:type="dxa"/>
              <w:right w:w="15" w:type="dxa"/>
            </w:tcMar>
            <w:vAlign w:val="top"/>
          </w:tcP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($300,000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($70,000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income on intra-entity sale from 2020 that can now be recognized after sales to outsiders. ($80,000 − $60,000) × 25% × 35% = $1,750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($100,000 − $70,000) × 20% × 35% = $2,100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The equity method concepts and applications described in IAS 28 are virtually identical to those prescribed by the FASB ASC. However, some differences do exist. First, the FASB allows a fair-value reporting option for investments that otherwise are accounted for under the equity method. IAS 28 does not provide for a fair-value reporting option. Second, if the investee employs accounting policies that differ from those of the investor, IAS 28 requires the financial statements of the investee to be adjusted to reflect the investor’s accounting policies for the purpose of applying the equity method. U.S. GAAP does not have a similar conformity requirement.</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