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does a country's gross domestic product (GDP)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intermediate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exports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final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production in a year</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With which country or region does most U.S. foreign direct investment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Latin America</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immediate effect of increasing tariffs on a country’s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increases the volume of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reduces the volume of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increases the volume of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promotes better trade relations with other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considered a service export?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 buys soybeans from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sells iPhones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tourists visit the Grand Canyon.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France sells wine to the United States.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we measure the ratio of total trade to GDP, which of the following nations had the highest ratio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Hong Kong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GDP is $10 trillion and its overall trade flows are $2 trillion (imports + exports/2),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trade/GDP ratio is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not a successful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GDP needs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trade/GDP ratio is too high.</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American tourist buys a ticket to an opera in Paris. The U.S. government classifies this transaction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import of a French opera,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export of a good.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make up Latin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Mexico, and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Mexico, Guam, and Puerto Rico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Mexico, Central and South America, and the Caribbean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Central and South America and Granada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main reasons for China to actively invest in foreign companies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enhance the competitiveness of Chinese firms globally.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take advantage of low wages in 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best use of its technological expertise in the world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meet the growing demand of the high population in 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coronavirus has had a dramatic impact on international trade in services. One service sector involves airline travel, which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export for the countries whose citizens are passengers.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import for the country whose company owns the airline.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export for the country whose company owns the airline.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export for the country whose company owns the airline.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ushered in the “second golden age” of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increase in trade among countries in the period after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introduction of the gold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increase in trade restrictions as a reaction to the Smoot–Hawley Tariff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decline in volume of trade among industrialized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reason for firms in an industrial nation to undertake vertical FDI in a low-income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access to raw materials in the low-income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wages in the low-income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export taxes in the low-income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import taxes in the low-income nation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2018 and 2020 (prior to the coronavirus pandemic), which of the following happened regarding U.S. trade barriers?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significantly reduced trade barriers with its international trading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did not erect any new trade barriers with its trading partners, but it also did not remove existing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erected new trade barriers with its international trading partners, especially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erected new trade barriers with China, but with none of its other international trading partners.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largely restricted between high-income countries but rarely faces restrictions in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largely unrestricted between high-income countries but sometimes faces restrictions in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never restricted among high-income or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always heavily restricted among high-income and developing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 restrictions in the form of import tariffs and import quotas are supported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industrial sector of the tariff-imposing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import sector of the foreign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production sector in the tariff-imposing country that uses imported intermediate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sector of the tariff-imposing country that produces the final good.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principal reason for Intel (a U.S. computer chip producer) to establish a computer chip manufacturing plant in a developing country (e.g., Malaysia)?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take advantage of the low wages in Malaysia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take advantage of Malaysia's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take advantage of Malaysia's low tariffs on imported computer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avoid Malaysia's low export taxes on computer chips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is NOT a member of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Denmark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Finland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Sweden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is NOT a member of the Organisation for Economic Co-operation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Kingdom</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relatively new feature of world trade that involves spreading the production process across multiple countries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bilateral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 landscaping.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foreign direct investment.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After 1945, world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grew more slowly than in the decade before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grew more rapidly than in the decade before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grew in absolute dollar terms but not as a ratio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fell in both absolute and relative terms.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best explains the low level (about $35 billion in 2018) of trade between the United States and Russia?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Russia doesn't produce goods that Americans want to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Russian market is smaller than the markets of most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Political tensions reduce the level of trade between the two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banned food imports from Russia.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2018 and 2019, average U.S. tariffs: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substantially.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substantially.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remained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could not be measured.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“Value-added” in the context of international trade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value of exports and the value of imported inputs used in producing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additional value a worker provides to a firm when she is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added by being able to purchase goods in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added by import brokers when they mark up the price of the products.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impacts of the novel coronavirus in 2020 was that trade in medical equipment improved in the world economy to meet the need for medical products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Asia, Europe, and North America, along with the developing countries with dense populations.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trade/GDP ratio is 38% and the GDP is $500 billion, then what is the overall value of its trade (imports + exports/2)?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$390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enough information is provided to answer the question.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classified as horizontal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NUCOR, a U.S. steel manufacturer, purchases an iron ore mine in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BMW, a German auto manufacturer, constructs an auto assembly plant in South Carolina.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Burger King, an American fast-food chain, buys Canadian fast-food chain Tim Horton's.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an American auto manufacturer, constructs an auto assembly plant in Toronto, Canada.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GDP is $3 trillion and its trade balance is $0.5 trillion, what is that country’s trade/GDP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16.67%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enough information is provided to answer the question.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factor mentioned in the text as a reason for the “first golden age” of trade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invention of the cotton 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invention of the wheel.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improved methods of transporting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invention of the computer.</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the novel coronavirus and the World Health Organization’s declaration of a global pandemic affect trade in China over the first few months of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increased China’s international trade in goods but left services unaffected.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decreased China’s international trade in goods but increased China’s international trade in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increased China’s international trade in goods but decreased China’s international trade in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decreased China’s international trade in goods and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was a member of the European Union prior to 2004 but voted to leave the EU in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Hungary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Italy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refers to all the factors that influence the amount of goods and services that are shipped across international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transportation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institutional failures and events such as wars and natural disasters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2018, the U.S. trade/GDP ratio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highest in the industrialized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greater than China's and Japan's.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than that of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too high.</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Other nations responded to the Smoot–Hawley tariff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complaining to the United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raising tariffs on imports in retaliation.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lowering prices on exports in order to increase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attacking military bases in nations that refused to lower tariffs.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FDI flows are owned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low-income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OECD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African continent.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Costs Associated with Phone Supply Chain</w:t>
            </w:r>
          </w:p>
          <w:p>
            <w:pPr>
              <w:pStyle w:val="p"/>
              <w:widowControl w:val="0"/>
              <w:bidi w:val="0"/>
              <w:spacing w:before="0" w:beforeAutospacing="0" w:after="0" w:afterAutospacing="0" w:line="257" w:lineRule="auto"/>
              <w:jc w:val="left"/>
            </w:pPr>
          </w:p>
          <w:tbl>
            <w:tblPr>
              <w:tblW w:w="7725" w:type="dxa"/>
              <w:jc w:val="left"/>
              <w:tblBorders>
                <w:top w:val="nil"/>
                <w:left w:val="nil"/>
                <w:bottom w:val="nil"/>
                <w:right w:val="nil"/>
                <w:insideH w:val="nil"/>
                <w:insideV w:val="nil"/>
              </w:tblBorders>
              <w:tblCellMar>
                <w:top w:w="105" w:type="dxa"/>
                <w:left w:w="105" w:type="dxa"/>
                <w:bottom w:w="105" w:type="dxa"/>
                <w:right w:w="105" w:type="dxa"/>
              </w:tblCellMar>
            </w:tblPr>
            <w:tblGrid>
              <w:gridCol w:w="2581"/>
              <w:gridCol w:w="3553"/>
              <w:gridCol w:w="1591"/>
            </w:tblGrid>
            <w:tr>
              <w:tblPrEx>
                <w:tblW w:w="772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Component/Process</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Source Country</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Cost in U.S. Dollars</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Hard drive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Display module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Taiwan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Video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Controller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Assembly</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(Apple)</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(AT&amp;T)</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Retail price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w:t>
                  </w:r>
                </w:p>
              </w:tc>
            </w:tr>
          </w:tbl>
          <w:p>
            <w:pPr>
              <w:pStyle w:val="p"/>
              <w:widowControl w:val="0"/>
              <w:bidi w:val="0"/>
              <w:spacing w:before="0" w:beforeAutospacing="0" w:after="0" w:afterAutospacing="0" w:line="257" w:lineRule="auto"/>
              <w:jc w:val="left"/>
            </w:pP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 Smith, a U.S. citizen, purchased a phone from AT&amp;T for $300. By how much did Jane's purchase change the U.S. trade balance with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country was the world's largest exporter of goods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a country has a low ratio of trade to GDP. Which of the following may be a possible explanation for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has low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is geographically distant from the rest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is very large and has a high volume of within-country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produces only agricultural products.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purchased from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sold to foreign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sold to foreigners—you cannot sell services to foreigners.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services sold to foreigners—exports do not include goods.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Reasons that firms in an industrial nation acquire firms in another industrial nation do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import tariffs and quotas in the other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ability to acquire technology and resources from the other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access to the other nation's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export taxes in the other nation.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bilateral trade balance may not report the correct information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data are not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manufacturing required for a single final product is often spread across many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transportation cost has gone up over the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costs of parts and materials are not reported correctly.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classified as reverse-vertical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Subaru, a Japanese automaker, builds a plant in Indiana to assemble Subaru Outbacks.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Coca-Cola, an American multinational corporation, constructs a bottling plant in Malaysia.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Iranian steel producer purchases an iron ore mine in the western Great Lakes region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Fiat, an Italian automaker, buys Ford Motor Company.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considered an outflow of foreign direct investment (FDI) from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sells Saab, its Swedish subsidiary, to a Chinese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uses the proceeds of its sale of Saab to purchase British treasury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earns interest on its British treasury bonds, which it then credits to its accounts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invests $100 million to modernize its U.K. plant that produces Vauxhall automobiles.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trade/GDP ratio is 25% and the overall value of trade (imports + exports/2) is $175 billion, then the GDP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 trillion.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economic groupings has the largest volume of trade among its member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Trans-Pacific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European Free-Trade Area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value of a nation's imports is more than the value of its exports, then the nation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 has consumption equal to $300 billion, investment equal to $100 billion, and government spending equal to $50 billion, and it imports $150 billion in goods and services and exports $200 billion in goods and services, what is that country’s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 billion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Chinese student pays tuition at a U.S. university. The Chinese government classifies this transaction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import of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export of a good.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a foreign resident purchases a good or service from someone in the United States, the transaction is categorized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U.S.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U.S.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bilateral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compensating differential.</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 Ferlengeti, a U.S. citizen, purchases a phone for $300 that Apple imported from China. Apple paid its Chinese subsidiary $150 for the phone. How did these transactions change the U.S.–China bilateral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improved (i.e., increased) by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worsened (i.e., fell) by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worsened (i.e., fell) by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did not change the U.S.-–China trade balance, since Apple's $150 margin ($300–$150) offset the $150 cost of importing the phone from 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a country’s trade to GDP is measured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trade balance to the country’s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trade surplus to the country’s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value of imports and exports (for goods and services) to the country’s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average value of imports and exports (for goods and services) to the country’s GDP.</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general, migration is _____ than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controlled and regulated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desirable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example of “value-added” as an important concept in international trade was the case of imports of iPhones from China. The value-added by China was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value of imported raw and semi-finished materials into China plus the value of the export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value of the export to the United States minus the total value of raw and semi-finished materials imported into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value of the export plus shipping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total value of exports to the United States and the total value of imports from the United States.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main reason for restricting the migration of workers to a high-wage industrial country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low probability of finding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high skill requirement for a migrant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fear that immigrants from low-wage countries will drive down wages for a country’s own less 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possible food shortage scenario that may evolve after immigration.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U.S.–China trade war has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significantly decreased import tariffs in 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import tariffs in China, but higher import tariffs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import tariffs in the United States, but higher import tariffs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significantly increased import tariffs in the United States and 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“first golden age” of trade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period from 1864 to 1887.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period from 1890 to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period between 1919 and 1935.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interwar period.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way to gauge the impact of trade on a nation is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wage distortions and job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total imports and exports expressed as a percentage of a nation's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shipping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in national income due to trade.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name given to a tax on imported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excise tax</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is an example of 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American company purchases a British soccer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Ford Motor Company establishes a plant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GM opens a plant in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BMW opens a plant in Bilbao, Spain.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countries saw a significant drop in international trade between 2008 and 2009. What was the cause of that temporary reduction?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Smoot–Hawley Tariff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September 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creation of the World Trade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Global Financial Crisis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Intel, an American company, has manufacturing plants in China that assemble U.S.-made components. Suppose one of these plants produces and sells a computer chip to a Chinese computer manufacturer. How is this sale recorded in U.S. international trade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considered to be neither a U.S. import nor a U.S.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considered to be a U.S. export 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considered to be a U.S. import from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U.S.-made chip components is considered to be a U.S. export.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many countries were members of the European Union as of May 2016 (prior to Brexit)?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28</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Chinese company, Fuyao Glass Industry Group, redesigned a shuttered General Motors plant in Dayton, Ohio, as a production facility. Despite having to pay higher wages in America, this business was able to become profitable for all of the following reasons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achieved higher levels of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worker union reduced worker protections for additional health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robots were introduced to perform certain manual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entry-level wages were reduced in the American automobile industry.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and European merchandise trade accounted for approximately what share of total world merchandise (goods) trade in 2014?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 than 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 than 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about 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 than two-thirds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During the 2008–09 financial crisis, what happened to the ratios of trade to GDP for most developed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fell.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did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do not have enough data yet to say what happened.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about the ratio of total trade to GDP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nations tend to have higher trade/GDP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Total trade is always larger than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GDP is always larger than total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Countries with higher trade/GDP ratios tend to be smaller.</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was Africa's share of world exports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58%</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caused the decline in trade during the 2008–09 financial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rising house prices, which took up more consumer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recessions in many countries that reduced both exports and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greater productivity in the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pirate activity off the coast of Africa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about trade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2018, Japan was the largest exporter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volume among China, Japan, Thailand, and Taiwan is the world's largest.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volume among Chile, Brazil, Argentina, and Mexico is the world's largest.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combined exports of Europe and the Americas account for nearly half of world exports.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had the highest ratio of international trade to GDP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Malaysia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explains why Asian countries such as China and Vietnam export goods to industrialized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Workers in China and Vietnam receive low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Workers are more productive in China and Vietnam than in industrialized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and Vietnam have an abundant supply of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Chinese and Vietnamese factories are more technologically advanced than those in industrialized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reason that the Japanese truck manufacturer Toyota might want to acquire or construct a plant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By having a plant in the United States, Toyota avoids the U.S. 25% tariff on imported pickup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Toyota wants to take advantage of lower wages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consumers will buy only U.S.-made pickup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Toyota wants to learn U.S. truck manufacturing technology.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States–China bilateral trade balance may overstate the trade gap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 of the inputs used to produce Chinese exports are imported.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 of the inputs used to produce Chinese exports are imported.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Chinese exports are valued in the U.S. Dollars rather than Chinese currency.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imposes trade restrictions on Chinese imports.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value of a nation's exports equals the value of its imports, the nation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value of a nation's exports is more than the value of its imports, the nation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does one determine the “value-added” of a product produced and sold domestically?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Subtract the total value of imported raw and semi-finished materials used in production from the product's total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Add the cost of its transportation to the market to the product's total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Subtract the total value of all raw and semi-finished materials used in its production from the product's total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Subtract the total value of a country's imports from the total value of its exports.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purchased from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sold to foreign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purchased from foreigners—you cannot purchase services from foreigners.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services purchased from foreigners—imports do not include goods.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Currently, which of the following countries is the world's largest exporter of goods (in terms of dollar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entries are used to calculate a country's bilateral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unemployment and inflation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exports to and imports from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per capita income and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exports and per capita income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movement of people across borders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guest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fractionalization.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foreign direct investment among industrialized countries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vertical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horizontal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reverse-vertical FDI.</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reason that firms engage in 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want to engage in automated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anticipate higher technology and access to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structure, education, highways, and communications technology are usually better in lower-income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want to take advantage of lower wages in developing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example of reverse-vertical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Geely—a Chinese automaker—buys Volvo from Ford Motor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Toyota—a Japanese automaker—constructs a truck manufacturing plant in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Chevron—an American petroleum firm—acquires a British petroleum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Motors—an American auto manufacturer—builds a plant in China to supply Buicks to the Chinese market.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total value of a country's exports and the total value of its imports is defined as the country's: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bilateral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 major concern of many Americans about the number of Mexican migrants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migrants may petition the United States to adopt Spanish as its official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migrants may drive down the wages of American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Mexican migrants never learn to speak English.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migrants are displacing American workers in high-tech jobs.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included in the calculation of a country's gross domestic product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its intermediate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its exports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its final consumption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are included in the calculation of a country's gross domestic product.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__________ foreign direct investment occurs when a firm from an industrial country owns a plant in a developing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Reverse-vertical</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reason that a Chinese pork-producing firm recently acquired Smithfield Foods (an American pork-processing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 wanted to use its pork-processing techniques to improve Smithfield's pork-processing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firm's acquisition would help it satisfy a growing demand for pork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 wanted to take advantage of lower wages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 wanted to monopolize the U.S. pork-producing industry.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flows into the United States and Europe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largest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than FDI 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than their share of trade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called horizontal FDI.</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bilateral trade balance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half the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measure of imports only—not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value of imports and exports between two trading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sum of the value of imports and exports traded between two nations.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nations have the world's highest volume of international trade with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Canada, Mexico, and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 China, South Korea, and Thailand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member nations of 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Middle Eastern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decade of the twentieth century had the highest average tariffs worldwide?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1930–39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1950–59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1970–79</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major reasons that Asia trades so much with the rest of the world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superior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high-quality land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productive capital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low wages.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NAFTA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free-trade area among Mexico, Canada, and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agreement to limit environmentally dangerous imports and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law preventing undocumented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another name for the European Union.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average tariff on intra–European Union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example of horizontal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Ford Motor Company acquires the British firm Jaguar.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Lenovo, a Chinese company, acquires IBM's personal computing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Fiat, an Italian company, merges with Agrale, a Brazilian automotive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Corporation builds a plant in China to supply Buicks to the Chinese market.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reason for a firm to engage in horizontal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expand its business across international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avoid tariffs in its foreign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avoid tariffs in its home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reduce its corporate taxes.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embargo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restriction on exports to 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halt in all kinds of trading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sanctions or complete elimination of imports from a foreign country.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do economists call the factors that reduce the total dollar volume of goods and services sold across international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factor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total trade to GDP</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1890 and 2018, the trade/GDP measure for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almost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through 1920, then decreased through 1930 and remained low until increasing again from 1960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through 1920, then increased through 1930 and remained high until decreasing again from 1960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remained unchanged.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combined trade within Europe and between Europe and the United States accounted for ______ of world exports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26%</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has received a great deal of FDI.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Firms such as automakers can take advantage of low wages and also avoid Chinese tariffs if their production is finished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 government has encouraged domestic firms to buy foreign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Loans to purchase manufacturing facilities in other nations are subsidized by the U.S.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has a system of business that is free from corruption and interference by the Chinese government.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did President Trump impose large tariffs on Chinese imports beginning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a bargaining tactic to gain leverage in future trade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a long-term strategy to maintain high import tariffs with all trading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reduce the U.S.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make Chinese imports less expensive for U.S. consumers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an import quota?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limit on the quantity of a certain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tax on the value of an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health or safety precaution affecting goods that may cause long-term harm to humans or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bureaucratic rule that can be overridden by the secretary for international trade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authors of this textbook, when the U.S.–China trade war ends, we should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negative effects to immediately disappear.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worldwide trade patterns to steadily return to exactly the way they were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long-lasting economic impacts with different worldwide trade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to lose its standing as a world economic leader in trade.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Merchandise trade among European countries accounted for approximately what share of total world merchandise (goods) trade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49%</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country X has a GDP of $1 trillion, exports $200 billion to country Y, and imports $300 billion from country Y, then its bilateral trade balance with country 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transactions is NOT included in the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foreign-made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foreign-provided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 stocks and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foreign-produced software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Costs Associated with Phone Supply Chain</w:t>
            </w:r>
          </w:p>
          <w:p>
            <w:pPr>
              <w:pStyle w:val="p"/>
              <w:widowControl w:val="0"/>
              <w:bidi w:val="0"/>
              <w:spacing w:before="0" w:beforeAutospacing="0" w:after="0" w:afterAutospacing="0" w:line="257" w:lineRule="auto"/>
              <w:jc w:val="left"/>
            </w:pPr>
          </w:p>
          <w:tbl>
            <w:tblPr>
              <w:tblW w:w="7725" w:type="dxa"/>
              <w:jc w:val="left"/>
              <w:tblBorders>
                <w:top w:val="nil"/>
                <w:left w:val="nil"/>
                <w:bottom w:val="nil"/>
                <w:right w:val="nil"/>
                <w:insideH w:val="nil"/>
                <w:insideV w:val="nil"/>
              </w:tblBorders>
              <w:tblCellMar>
                <w:top w:w="105" w:type="dxa"/>
                <w:left w:w="105" w:type="dxa"/>
                <w:bottom w:w="105" w:type="dxa"/>
                <w:right w:w="105" w:type="dxa"/>
              </w:tblCellMar>
            </w:tblPr>
            <w:tblGrid>
              <w:gridCol w:w="2581"/>
              <w:gridCol w:w="3553"/>
              <w:gridCol w:w="1591"/>
            </w:tblGrid>
            <w:tr>
              <w:tblPrEx>
                <w:tblW w:w="772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Component/Process</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Source Country</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Cost in U.S. Dollars</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Hard drive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Display module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Taiwan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Video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Controller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Assembly</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(Apple)</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(AT&amp;T)</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Retail price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w:t>
                  </w:r>
                </w:p>
              </w:tc>
            </w:tr>
          </w:tbl>
          <w:p>
            <w:pPr>
              <w:pStyle w:val="p"/>
              <w:widowControl w:val="0"/>
              <w:bidi w:val="0"/>
              <w:spacing w:before="0" w:beforeAutospacing="0" w:after="0" w:afterAutospacing="0" w:line="257" w:lineRule="auto"/>
              <w:jc w:val="left"/>
            </w:pP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 Smith, a U.S. citizen, purchased a phone from AT&amp;T for $300. By how much did Jane's transaction affect the U.S.–Japan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did not affect it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U.S.–Japan trade balance fell by $750.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U.S.–Japan trade balance rose by $130.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U.S.–Japan trade balance fell by 25%.</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country is the source of the largest number of immigrants from Latin America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Brazil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Colombia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Venezuela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Immigration issues are usually more intense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where wages are lower than world averages.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with unsecured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with open-door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where wages are higher than world averages.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2018, which of the following regions received the most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Latin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 the past century, how have U.S. exports 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steadily increased its exports of raw agricultural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always focused primarily on capital and consumer goods, and not much has changed in the last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steadily shifted away from agricultural and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still exports a larger share of agricultural and raw materials than consumer and capital goods.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value of a nation's exports is less than the value of its imports, the nation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was the 1956 invention that increased the volume of world trade by lowering the cost of shipping?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personal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bar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bubble wrap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shipping container</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nations had the lowest ratio of international trade to GDP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Hong Kong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GDP is $10 trillion, its exports are $1 trillion, and its imports are $1.5 trillion, then its trade/GDP ratio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400%.</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should the recorded U.S.–China bilateral trade deficit in goods be interpreted with some caution?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imports of Chinese products may be produced by U.S. subsidiaries that generate profits for the U.S. parent firms (recorded as U.S. service export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imports of Chinese products may utilize material inputs that China imports from the United States or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imports of Chinese products may be produced with capital goods (e.g., machinery) that China imports from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does not record all of its imports from the United States in its trade statistics.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about the United States–China bilateral trade balance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correct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good indicator of the inequality of imports and exports between 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vastly understates the gap in imports and exports between 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overstate the gap in imports and exports between the United States and China because some material inputs used to produce Chinese exports do not originate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shows that there is balanced trade between the United States and 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was the short-lived import tariff enacted in 1930 that raised rates to an average of 60% on many imports?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Reaganomics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Smoot–Hawley tariff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Blair-Bush tariff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International Equity tariff</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example of a foreign direct investment (FDI) flow?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purchase of a controlling interest in a foreign firm by a domestic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purchase of stocks or bonds directly from an international dealer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purchase of foreign government bonds by domestic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accounts denominated in foreign currency in foreign banks owned by domestic depositors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Smoot–Hawley Tariff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passed in response to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passed as a reaction to the Great Depression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enacted by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greatly reduced the barriers to trade.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war corresponds to a situation in which trading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compete in trading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stop trading with each other completely.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retaliate by increasing import tariffs against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ban import transactions between them.</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bilateral trade balance is measured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sum of two countries’ trade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two countries’ trade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sum of exports and imports between two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exports and imports between two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maintain a steady domestic supply of medical equipment, some countries followed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 promotion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 quota trade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 tariff trade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reduction in trade-restrictive policies in general.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was NOT an impact of the coronavirus on medical resources in early to mid-2020?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reduced its tariff on medical equipment imported from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countries removed export quotas on medical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countries restricted their exports of medical equipment to keep those goods for emergency use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for medical equipment rose around the world.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key difference between an immigrant and a refugee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immigrants are driven by a desire to earn a higher income and refugees are prompted by the poverty and danger of the home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immigration is a matter of personal choice and refugee status is a condition forced on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approval of immigration status takes less time than confirmation of refugee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easier to obtain immigrant status than to gain refugee status.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than one-half of migration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Organisation for Economic Co-operation and Development (OECD) countries to other OECD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OECD countries to non-OECD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non-OECD countries to OECD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non-OECD countries to other non-OECD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country's service exports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restaurant meal purchased by its resident in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equipment or automobiles with a warranty and a service contract sold to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ticket on the country's airline sold to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resident who migrates to work in another country.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is NOT a member of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Slovakia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Hungary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Poland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Despite hopes that migration between nations in the European Union would be free, several nations have agreements to restrict it.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afraid of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Labor policies are very different, and new workers will expect the same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concerned that mass inflows of workers will lower wages and offer competition for their own domestic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workers are more productive.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term for a capital flow that is used to purchase or build a tangible asset like a factory?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foreign direct investment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did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result in increased trade between 1945 and 1960?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end of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tariff reductions under the 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transportation costs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measured in “flow” terms when we take into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any form of FDI ownership occurring across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foreign companies owning a company or property in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ownership (adding up over all years) by firms from one country investing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new ownership each year acquired by firms from one country investing in other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do larger countries tend to have lower ratios of international trade to GDP than smaller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have more trade between states or provinces within their borders than smaller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have higher tariffs than smaller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trade with other larger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have larger trade deficits than smaller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in value between a nation's total exports and imports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bilateral trade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Currently, which of the following countries is the world's largest exporter of goods and services (in terms of dollar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key reason for horizontal FDI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avoid or to minimize taxes or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take advantage of low wages in the destination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compete with local companies in the destination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learn newer technology in the destination country.</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Irene Jones, a U.S. citizen, purchases a shirt from Walmart for $10 that Walmart imported from China for $5. How did these transactions change the values of U.S. and Chinese imports and exports and the U.S.–China and China–U.S. bilateral trade balances?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in retaliation to British limits on Balkan migrants, Bulgaria carries out its threat to take “reciprocal measures” against British migrants to Bulgaria. Will this work? Why or why not?</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some countries (such as the United States) have low ratios of international trade (exports + imports)/2 to GDP?</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were the effects of the Smoot–Hawley tariffs?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Some countries have low ratios of international trade (exports + imports) to GDP (such as the United States), while, in other countries, the ratio of international trade to GDP exceeds 100%. How is it possible for trade to exceed the value of GDP?</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Until recently, labor could freely move from one country to another within the EU. However, some EU countries now place restrictions on migrants from new EU members. Why have these countries done so?</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A Chinese student pays tuition to a U.S. university. How is this transaction entered in Chinese and U.S. trade data?</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differences between vertical and horizontal FDI and provide an example of each.</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Is most immigration from low-income to high-income countries?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important reason for reverse-vertical FDI to occur?</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Is most FDI from high-income to low-income countries?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trade in the modern world economy differ from trade in the past—say, 1925?</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bilateral trade balances be viewed with some caution?</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reverse-vertical FDI? Provide an example.</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isn't the U.S.–China bilateral trade balance a good indicator of the inequality of imports and exports between the United States and China?</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U.S. imports increased by $5 and Chinese exports increased by $5, the U.S.–China bilateral trade balance declined by $5, and the China–U.S. bilateral trade balance increased by $5.</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No, it will not work. British wages are above the world average, while Balkan wages are below the world average. Thus, few British citizens will seek to migrate to Bulgaria.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Large countries often have low ratios of international trade/trade flows to GDP because there is significant domestic trade among regions, states, or provinces within these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 run, they raised tariffs to an average of 20% on all imported goods (and as high as 60% on some categories of imported goods). Affected nations retaliated by enacting import tariffs of their own on U.S. products, which in turn led to higher tariffs across the world. This was an example of a global trade war.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Countries for which trade exceeds GDP tend to have small economies, are often important centers for shipping goods, and/or import material inputs and do not create much value-added in processing these material inputs into export products. Additionally, the calculation for GDP includes net exports (exports minus imports), while the ratio of trade to GDP includes </w:t>
            </w:r>
            <w:r>
              <w:rPr>
                <w:rStyle w:val="DefaultParagraphFont"/>
                <w:rFonts w:ascii="Times New Roman" w:eastAsia="Times New Roman" w:hAnsi="Times New Roman" w:cs="Times New Roman"/>
                <w:b w:val="0"/>
                <w:bCs w:val="0"/>
                <w:i/>
                <w:iCs/>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trade (exports plus imports). A country with a high level of imports and exports would have a very small trade balance as part of GDP but a very large volume of trade.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 reason is fear that migrants from lower-wage EU countries will cause wages to fall in the higher-wage EU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entered as a service import in China trade data, while it is a service export in U.S. trade data.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Horizontal FDI occurs between industrial countries and often involves the acquisition or establishment of firms producing within the same industrial sector (e.g., Fiat's purchase of Chrysler in 2009). Vertical FDI occurs when a firm in an industrial nation acquires or establishes a firm in a developing country that may or may not be within the same industrial sector.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Yes, more than one-half (60%) of migration occurs from non-OECD (mainly low-income) to high-income OECD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Reverse-vertical FDI occurs when a firm in a developing country acquires a firm in an industrialized country. The main incentive is to acquire the technical expertise of the firm in the industrialized economy, which the developing country can combine with low wages.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No, in 2013, 80% of the world FDI stock was located in OECD countries or owned by these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past, trade occurred in more standardized goods (such as raw materials) that were shipped long distances but were not shipped back and forth between countries during the manufacturing process. The type of trade has also changed. U.S. trade has shifted away from agriculture and raw materials toward manufactured goods. Most trade now occurs among wealthy, industrialized nations.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Bilateral trade balances do not account for inputs that exporting and importing countries may import from each other or from third countries. If value-added is small, bilateral trade balances do not represent the GDP produced in either country. Bilateral trade balances do not account for inputs produced by, and profits earned by, home country subsidiaries operating in the other country.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Reverse-vertical FDI occurs when a firm in a developing country acquires a firm in an industrialized country. Examples include Lenovo (a Chinese company) purchasing the computer division of IBM, Geely (a Chinese auto manufacturer) acquiring Volvo Motors from Ford Motor Company, and Shuanghui International (a Chinese company) acquiring the American firm Smithfield Foods. The motive is usually to acquire technology and highly skilled labor.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official trade statistics, the value of Chinese exports to the United States includes the value of the imported material inputs used in producing these exports instead of reporting only the value added by China. This inflates China’s export figures because it does not net out their input costs.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